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c681e026e104526" /></Relationships>
</file>

<file path=word/document.xml><?xml version="1.0" encoding="utf-8"?>
<w:document xmlns:w="http://schemas.openxmlformats.org/wordprocessingml/2006/main">
  <w:body>
    <w:sectPr>
      <w:footerReference xmlns:r="http://schemas.openxmlformats.org/officeDocument/2006/relationships" w:type="default" r:id="r98"/>
      <w:headerReference xmlns:r="http://schemas.openxmlformats.org/officeDocument/2006/relationships" w:type="default" r:id="r97"/>
      <w:pgMar w:top="1200" w:right="2267" w:bottom="400" w:left="1500" w:header="709" w:footer="709"/>
    </w:sectPr>
    <w:p>
      <w:pPr>
        <w:bidi/>
        <w:spacing w:before="45" w:after="70" w:line="250" w:lineRule="auto"/>
        <w:jc w:val="center"/>
      </w:pPr>
      <w:defaultTabStop w:val="720"/>
      <w:r>
        <w:rPr>
          <w:lang w:bidi="he-IL"/>
          <w:rFonts w:hint="cs" w:cs="FrankRuehl"/>
          <w:szCs w:val="32"/>
          <w:rtl/>
        </w:rPr>
        <w:t xml:space="preserve">חוק המכר (דירות) (הבטחת השקעות של רוכשי דירות), תשל"ה-1974</w:t>
      </w:r>
    </w:p>
    <w:p>
      <w:pPr>
        <w:bidi/>
        <w:spacing w:before="45" w:after="70" w:line="250" w:lineRule="auto"/>
        <w:jc w:val="center"/>
      </w:pPr>
      <w:defaultTabStop w:val="720"/>
      <w:r>
        <w:rPr>
          <w:lang w:bidi="he-IL"/>
          <w:rFonts w:hint="cs" w:cs="FrankRuehl"/>
          <w:szCs w:val="32"/>
          <w:rtl/>
        </w:rPr>
        <w:t xml:space="preserve">תוכן ענינים</w:t>
      </w:r>
    </w:p>
    <w:p>
      <w:pPr>
        <w:bidi/>
        <w:spacing w:before="45" w:after="5" w:line="250" w:lineRule="auto"/>
      </w:pPr>
      <w:defaultTabStop w:val="720"/>
      <w:r>
        <w:rPr>
          <w:lang w:bidi="he-IL"/>
          <w:rFonts w:hint="cs" w:cs="Times New Roman"/>
          <w:szCs w:val="24"/>
          <w:rtl/>
        </w:rPr>
        <w:fldChar w:fldCharType="begin"/>
        <w:fldChar w:fldCharType="separate"/>
        <w:tbl>
          <w:tblPr>
            <w:tblW w:w="5000" w:type="pct"/>
            <w:updateFields w:val="true"/>
          </w:tblPr>
          <w:tr>
            <w:tc>
              <w:p>
                <w:pPr>
                  <w:bidi/>
                  <w:spacing w:before="45" w:after="5" w:line="250" w:lineRule="auto"/>
                </w:pPr>
                <w:defaultTabStop w:val="720"/>
                <w:hyperlink w:anchor="h1">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הגדרות</w:t>
                </w:r>
              </w:p>
            </w:tc>
            <w:tc>
              <w:tcPr>
                <w:tcW w:w="800" w:type="pct"/>
              </w:tcPr>
              <w:p>
                <w:pPr>
                  <w:bidi/>
                  <w:spacing w:before="45" w:after="5" w:line="250" w:lineRule="auto"/>
                </w:pPr>
                <w:defaultTabStop w:val="720"/>
                <w:r>
                  <w:rPr>
                    <w:lang w:bidi="he-IL"/>
                    <w:rFonts w:hint="cs" w:cs="Times New Roman"/>
                    <w:szCs w:val="24"/>
                    <w:rtl/>
                  </w:rPr>
                  <w:t xml:space="preserve">סעיף 1</w:t>
                </w:r>
              </w:p>
            </w:tc>
          </w:tr>
          <w:tr>
            <w:tc>
              <w:p>
                <w:pPr>
                  <w:bidi/>
                  <w:spacing w:before="45" w:after="5" w:line="250" w:lineRule="auto"/>
                </w:pPr>
                <w:defaultTabStop w:val="720"/>
                <w:hyperlink w:anchor="h2">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הבטחת כספי הקונה</w:t>
                </w:r>
              </w:p>
            </w:tc>
            <w:tc>
              <w:tcPr>
                <w:tcW w:w="800" w:type="pct"/>
              </w:tcPr>
              <w:p>
                <w:pPr>
                  <w:bidi/>
                  <w:spacing w:before="45" w:after="5" w:line="250" w:lineRule="auto"/>
                </w:pPr>
                <w:defaultTabStop w:val="720"/>
                <w:r>
                  <w:rPr>
                    <w:lang w:bidi="he-IL"/>
                    <w:rFonts w:hint="cs" w:cs="Times New Roman"/>
                    <w:szCs w:val="24"/>
                    <w:rtl/>
                  </w:rPr>
                  <w:t xml:space="preserve">סעיף 2</w:t>
                </w:r>
              </w:p>
            </w:tc>
          </w:tr>
          <w:tr>
            <w:tc>
              <w:p>
                <w:pPr>
                  <w:bidi/>
                  <w:spacing w:before="45" w:after="5" w:line="250" w:lineRule="auto"/>
                </w:pPr>
                <w:defaultTabStop w:val="720"/>
                <w:hyperlink w:anchor="h3">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החלפת ערובה</w:t>
                </w:r>
              </w:p>
            </w:tc>
            <w:tc>
              <w:tcPr>
                <w:tcW w:w="800" w:type="pct"/>
              </w:tcPr>
              <w:p>
                <w:pPr>
                  <w:bidi/>
                  <w:spacing w:before="45" w:after="5" w:line="250" w:lineRule="auto"/>
                </w:pPr>
                <w:defaultTabStop w:val="720"/>
                <w:r>
                  <w:rPr>
                    <w:lang w:bidi="he-IL"/>
                    <w:rFonts w:hint="cs" w:cs="Times New Roman"/>
                    <w:szCs w:val="24"/>
                    <w:rtl/>
                  </w:rPr>
                  <w:t xml:space="preserve">סעיף 2א</w:t>
                </w:r>
              </w:p>
            </w:tc>
          </w:tr>
          <w:tr>
            <w:tc>
              <w:p>
                <w:pPr>
                  <w:bidi/>
                  <w:spacing w:before="45" w:after="5" w:line="250" w:lineRule="auto"/>
                </w:pPr>
                <w:defaultTabStop w:val="720"/>
                <w:hyperlink w:anchor="h4">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חובת יידוע בכתב</w:t>
                </w:r>
              </w:p>
            </w:tc>
            <w:tc>
              <w:tcPr>
                <w:tcW w:w="800" w:type="pct"/>
              </w:tcPr>
              <w:p>
                <w:pPr>
                  <w:bidi/>
                  <w:spacing w:before="45" w:after="5" w:line="250" w:lineRule="auto"/>
                </w:pPr>
                <w:defaultTabStop w:val="720"/>
                <w:r>
                  <w:rPr>
                    <w:lang w:bidi="he-IL"/>
                    <w:rFonts w:hint="cs" w:cs="Times New Roman"/>
                    <w:szCs w:val="24"/>
                    <w:rtl/>
                  </w:rPr>
                  <w:t xml:space="preserve">סעיף 2א1</w:t>
                </w:r>
              </w:p>
            </w:tc>
          </w:tr>
          <w:tr>
            <w:tc>
              <w:p>
                <w:pPr>
                  <w:bidi/>
                  <w:spacing w:before="45" w:after="5" w:line="250" w:lineRule="auto"/>
                </w:pPr>
                <w:defaultTabStop w:val="720"/>
                <w:hyperlink w:anchor="h5">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הבטחת כספי קונה דירה על מקרקעי ישראל</w:t>
                </w:r>
              </w:p>
            </w:tc>
            <w:tc>
              <w:tcPr>
                <w:tcW w:w="800" w:type="pct"/>
              </w:tcPr>
              <w:p>
                <w:pPr>
                  <w:bidi/>
                  <w:spacing w:before="45" w:after="5" w:line="250" w:lineRule="auto"/>
                </w:pPr>
                <w:defaultTabStop w:val="720"/>
                <w:r>
                  <w:rPr>
                    <w:lang w:bidi="he-IL"/>
                    <w:rFonts w:hint="cs" w:cs="Times New Roman"/>
                    <w:szCs w:val="24"/>
                    <w:rtl/>
                  </w:rPr>
                  <w:t xml:space="preserve">סעיף 2ב</w:t>
                </w:r>
              </w:p>
            </w:tc>
          </w:tr>
          <w:tr>
            <w:tc>
              <w:p>
                <w:pPr>
                  <w:bidi/>
                  <w:spacing w:before="45" w:after="5" w:line="250" w:lineRule="auto"/>
                </w:pPr>
                <w:defaultTabStop w:val="720"/>
                <w:hyperlink w:anchor="h6">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הודעה בדבר מחיקת רישום שעבוד</w:t>
                </w:r>
              </w:p>
            </w:tc>
            <w:tc>
              <w:tcPr>
                <w:tcW w:w="800" w:type="pct"/>
              </w:tcPr>
              <w:p>
                <w:pPr>
                  <w:bidi/>
                  <w:spacing w:before="45" w:after="5" w:line="250" w:lineRule="auto"/>
                </w:pPr>
                <w:defaultTabStop w:val="720"/>
                <w:r>
                  <w:rPr>
                    <w:lang w:bidi="he-IL"/>
                    <w:rFonts w:hint="cs" w:cs="Times New Roman"/>
                    <w:szCs w:val="24"/>
                    <w:rtl/>
                  </w:rPr>
                  <w:t xml:space="preserve">סעיף 2ג</w:t>
                </w:r>
              </w:p>
            </w:tc>
          </w:tr>
          <w:tr>
            <w:tc>
              <w:p>
                <w:pPr>
                  <w:bidi/>
                  <w:spacing w:before="45" w:after="5" w:line="250" w:lineRule="auto"/>
                </w:pPr>
                <w:defaultTabStop w:val="720"/>
                <w:hyperlink w:anchor="h7">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סייג לתשלומים</w:t>
                </w:r>
              </w:p>
            </w:tc>
            <w:tc>
              <w:tcPr>
                <w:tcW w:w="800" w:type="pct"/>
              </w:tcPr>
              <w:p>
                <w:pPr>
                  <w:bidi/>
                  <w:spacing w:before="45" w:after="5" w:line="250" w:lineRule="auto"/>
                </w:pPr>
                <w:defaultTabStop w:val="720"/>
                <w:r>
                  <w:rPr>
                    <w:lang w:bidi="he-IL"/>
                    <w:rFonts w:hint="cs" w:cs="Times New Roman"/>
                    <w:szCs w:val="24"/>
                    <w:rtl/>
                  </w:rPr>
                  <w:t xml:space="preserve">סעיף 3</w:t>
                </w:r>
              </w:p>
            </w:tc>
          </w:tr>
          <w:tr>
            <w:tc>
              <w:p>
                <w:pPr>
                  <w:bidi/>
                  <w:spacing w:before="45" w:after="5" w:line="250" w:lineRule="auto"/>
                </w:pPr>
                <w:defaultTabStop w:val="720"/>
                <w:hyperlink w:anchor="h8">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תשלום הוצאות על ידי המוכר</w:t>
                </w:r>
              </w:p>
            </w:tc>
            <w:tc>
              <w:tcPr>
                <w:tcW w:w="800" w:type="pct"/>
              </w:tcPr>
              <w:p>
                <w:pPr>
                  <w:bidi/>
                  <w:spacing w:before="45" w:after="5" w:line="250" w:lineRule="auto"/>
                </w:pPr>
                <w:defaultTabStop w:val="720"/>
                <w:r>
                  <w:rPr>
                    <w:lang w:bidi="he-IL"/>
                    <w:rFonts w:hint="cs" w:cs="Times New Roman"/>
                    <w:szCs w:val="24"/>
                    <w:rtl/>
                  </w:rPr>
                  <w:t xml:space="preserve">סעיף 3א</w:t>
                </w:r>
              </w:p>
            </w:tc>
          </w:tr>
          <w:tr>
            <w:tc>
              <w:p>
                <w:pPr>
                  <w:bidi/>
                  <w:spacing w:before="45" w:after="5" w:line="250" w:lineRule="auto"/>
                </w:pPr>
                <w:defaultTabStop w:val="720"/>
                <w:hyperlink w:anchor="h9">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הפרשי הצמדה</w:t>
                </w:r>
              </w:p>
            </w:tc>
            <w:tc>
              <w:tcPr>
                <w:tcW w:w="800" w:type="pct"/>
              </w:tcPr>
              <w:p>
                <w:pPr>
                  <w:bidi/>
                  <w:spacing w:before="45" w:after="5" w:line="250" w:lineRule="auto"/>
                </w:pPr>
                <w:defaultTabStop w:val="720"/>
                <w:r>
                  <w:rPr>
                    <w:lang w:bidi="he-IL"/>
                    <w:rFonts w:hint="cs" w:cs="Times New Roman"/>
                    <w:szCs w:val="24"/>
                    <w:rtl/>
                  </w:rPr>
                  <w:t xml:space="preserve">סעיף 3א1</w:t>
                </w:r>
              </w:p>
            </w:tc>
          </w:tr>
          <w:tr>
            <w:tc>
              <w:p>
                <w:pPr>
                  <w:bidi/>
                  <w:spacing w:before="45" w:after="5" w:line="250" w:lineRule="auto"/>
                </w:pPr>
                <w:defaultTabStop w:val="720"/>
                <w:hyperlink w:anchor="h10">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ליווי פיננסי לפרויקט בנייה</w:t>
                </w:r>
              </w:p>
            </w:tc>
            <w:tc>
              <w:tcPr>
                <w:tcW w:w="800" w:type="pct"/>
              </w:tcPr>
              <w:p>
                <w:pPr>
                  <w:bidi/>
                  <w:spacing w:before="45" w:after="5" w:line="250" w:lineRule="auto"/>
                </w:pPr>
                <w:defaultTabStop w:val="720"/>
                <w:r>
                  <w:rPr>
                    <w:lang w:bidi="he-IL"/>
                    <w:rFonts w:hint="cs" w:cs="Times New Roman"/>
                    <w:szCs w:val="24"/>
                    <w:rtl/>
                  </w:rPr>
                  <w:t xml:space="preserve">סעיף 3ב</w:t>
                </w:r>
              </w:p>
            </w:tc>
          </w:tr>
          <w:tr>
            <w:tc>
              <w:p>
                <w:pPr>
                  <w:bidi/>
                  <w:spacing w:before="45" w:after="5" w:line="250" w:lineRule="auto"/>
                </w:pPr>
                <w:defaultTabStop w:val="720"/>
                <w:hyperlink w:anchor="h11">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חובת תאגיד שנתן הלוואה לרכישת דירה</w:t>
                </w:r>
              </w:p>
            </w:tc>
            <w:tc>
              <w:tcPr>
                <w:tcW w:w="800" w:type="pct"/>
              </w:tcPr>
              <w:p>
                <w:pPr>
                  <w:bidi/>
                  <w:spacing w:before="45" w:after="5" w:line="250" w:lineRule="auto"/>
                </w:pPr>
                <w:defaultTabStop w:val="720"/>
                <w:r>
                  <w:rPr>
                    <w:lang w:bidi="he-IL"/>
                    <w:rFonts w:hint="cs" w:cs="Times New Roman"/>
                    <w:szCs w:val="24"/>
                    <w:rtl/>
                  </w:rPr>
                  <w:t xml:space="preserve">סעיף 3ג</w:t>
                </w:r>
              </w:p>
            </w:tc>
          </w:tr>
          <w:tr>
            <w:tc>
              <w:p>
                <w:pPr>
                  <w:bidi/>
                  <w:spacing w:before="45" w:after="5" w:line="250" w:lineRule="auto"/>
                </w:pPr>
                <w:defaultTabStop w:val="720"/>
                <w:hyperlink w:anchor="h12">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שעבוד ראשון של זכות המוכר לקבלת החזר רכיב המע"מ</w:t>
                </w:r>
              </w:p>
            </w:tc>
            <w:tc>
              <w:tcPr>
                <w:tcW w:w="800" w:type="pct"/>
              </w:tcPr>
              <w:p>
                <w:pPr>
                  <w:bidi/>
                  <w:spacing w:before="45" w:after="5" w:line="250" w:lineRule="auto"/>
                </w:pPr>
                <w:defaultTabStop w:val="720"/>
                <w:r>
                  <w:rPr>
                    <w:lang w:bidi="he-IL"/>
                    <w:rFonts w:hint="cs" w:cs="Times New Roman"/>
                    <w:szCs w:val="24"/>
                    <w:rtl/>
                  </w:rPr>
                  <w:t xml:space="preserve">סעיף 3ג1</w:t>
                </w:r>
              </w:p>
            </w:tc>
          </w:tr>
          <w:tr>
            <w:tc>
              <w:p>
                <w:pPr>
                  <w:bidi/>
                  <w:spacing w:before="45" w:after="5" w:line="250" w:lineRule="auto"/>
                </w:pPr>
                <w:defaultTabStop w:val="720"/>
                <w:hyperlink w:anchor="h13">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השבת רכיב המע"מ בעת מימוש בטוחה</w:t>
                </w:r>
              </w:p>
            </w:tc>
            <w:tc>
              <w:tcPr>
                <w:tcW w:w="800" w:type="pct"/>
              </w:tcPr>
              <w:p>
                <w:pPr>
                  <w:bidi/>
                  <w:spacing w:before="45" w:after="5" w:line="250" w:lineRule="auto"/>
                </w:pPr>
                <w:defaultTabStop w:val="720"/>
                <w:r>
                  <w:rPr>
                    <w:lang w:bidi="he-IL"/>
                    <w:rFonts w:hint="cs" w:cs="Times New Roman"/>
                    <w:szCs w:val="24"/>
                    <w:rtl/>
                  </w:rPr>
                  <w:t xml:space="preserve">סעיף 3ג2</w:t>
                </w:r>
              </w:p>
            </w:tc>
          </w:tr>
          <w:tr>
            <w:tc>
              <w:p>
                <w:pPr>
                  <w:bidi/>
                  <w:spacing w:before="45" w:after="5" w:line="250" w:lineRule="auto"/>
                </w:pPr>
                <w:defaultTabStop w:val="720"/>
                <w:hyperlink w:anchor="h14">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מינוי הממונה, ניהול רישום ובירור פניות ציבור</w:t>
                </w:r>
              </w:p>
            </w:tc>
            <w:tc>
              <w:tcPr>
                <w:tcW w:w="800" w:type="pct"/>
              </w:tcPr>
              <w:p>
                <w:pPr>
                  <w:bidi/>
                  <w:spacing w:before="45" w:after="5" w:line="250" w:lineRule="auto"/>
                </w:pPr>
                <w:defaultTabStop w:val="720"/>
                <w:r>
                  <w:rPr>
                    <w:lang w:bidi="he-IL"/>
                    <w:rFonts w:hint="cs" w:cs="Times New Roman"/>
                    <w:szCs w:val="24"/>
                    <w:rtl/>
                  </w:rPr>
                  <w:t xml:space="preserve">סעיף 3ד</w:t>
                </w:r>
              </w:p>
            </w:tc>
          </w:tr>
          <w:tr>
            <w:tc>
              <w:p>
                <w:pPr>
                  <w:bidi/>
                  <w:spacing w:before="45" w:after="5" w:line="250" w:lineRule="auto"/>
                </w:pPr>
                <w:defaultTabStop w:val="720"/>
                <w:hyperlink w:anchor="h15">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חובת דיווח של מוכר לממונה</w:t>
                </w:r>
              </w:p>
            </w:tc>
            <w:tc>
              <w:tcPr>
                <w:tcW w:w="800" w:type="pct"/>
              </w:tcPr>
              <w:p>
                <w:pPr>
                  <w:bidi/>
                  <w:spacing w:before="45" w:after="5" w:line="250" w:lineRule="auto"/>
                </w:pPr>
                <w:defaultTabStop w:val="720"/>
                <w:r>
                  <w:rPr>
                    <w:lang w:bidi="he-IL"/>
                    <w:rFonts w:hint="cs" w:cs="Times New Roman"/>
                    <w:szCs w:val="24"/>
                    <w:rtl/>
                  </w:rPr>
                  <w:t xml:space="preserve">סעיף 3ה</w:t>
                </w:r>
              </w:p>
            </w:tc>
          </w:tr>
          <w:tr>
            <w:tc>
              <w:p>
                <w:pPr>
                  <w:bidi/>
                  <w:spacing w:before="45" w:after="5" w:line="250" w:lineRule="auto"/>
                </w:pPr>
                <w:defaultTabStop w:val="720"/>
                <w:hyperlink w:anchor="h16">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סמכויות פיקוח</w:t>
                </w:r>
              </w:p>
            </w:tc>
            <w:tc>
              <w:tcPr>
                <w:tcW w:w="800" w:type="pct"/>
              </w:tcPr>
              <w:p>
                <w:pPr>
                  <w:bidi/>
                  <w:spacing w:before="45" w:after="5" w:line="250" w:lineRule="auto"/>
                </w:pPr>
                <w:defaultTabStop w:val="720"/>
                <w:r>
                  <w:rPr>
                    <w:lang w:bidi="he-IL"/>
                    <w:rFonts w:hint="cs" w:cs="Times New Roman"/>
                    <w:szCs w:val="24"/>
                    <w:rtl/>
                  </w:rPr>
                  <w:t xml:space="preserve">סעיף 3ו</w:t>
                </w:r>
              </w:p>
            </w:tc>
          </w:tr>
          <w:tr>
            <w:tc>
              <w:p>
                <w:pPr>
                  <w:bidi/>
                  <w:spacing w:before="45" w:after="5" w:line="250" w:lineRule="auto"/>
                </w:pPr>
                <w:defaultTabStop w:val="720"/>
                <w:hyperlink w:anchor="h17">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סמכויות הממונה לגבי מוכר או תאגיד מפר</w:t>
                </w:r>
              </w:p>
            </w:tc>
            <w:tc>
              <w:tcPr>
                <w:tcW w:w="800" w:type="pct"/>
              </w:tcPr>
              <w:p>
                <w:pPr>
                  <w:bidi/>
                  <w:spacing w:before="45" w:after="5" w:line="250" w:lineRule="auto"/>
                </w:pPr>
                <w:defaultTabStop w:val="720"/>
                <w:r>
                  <w:rPr>
                    <w:lang w:bidi="he-IL"/>
                    <w:rFonts w:hint="cs" w:cs="Times New Roman"/>
                    <w:szCs w:val="24"/>
                    <w:rtl/>
                  </w:rPr>
                  <w:t xml:space="preserve">סעיף 3ז</w:t>
                </w:r>
              </w:p>
            </w:tc>
          </w:tr>
          <w:tr>
            <w:tc>
              <w:p>
                <w:pPr>
                  <w:bidi/>
                  <w:spacing w:before="45" w:after="5" w:line="250" w:lineRule="auto"/>
                </w:pPr>
                <w:defaultTabStop w:val="720"/>
                <w:hyperlink w:anchor="h18">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סמכויות המפקח על הבנקים והממונה על שוק ההון לגבי תאגיד בנקאי או מבטח שהפר את חובותיו</w:t>
                </w:r>
              </w:p>
            </w:tc>
            <w:tc>
              <w:tcPr>
                <w:tcW w:w="800" w:type="pct"/>
              </w:tcPr>
              <w:p>
                <w:pPr>
                  <w:bidi/>
                  <w:spacing w:before="45" w:after="5" w:line="250" w:lineRule="auto"/>
                </w:pPr>
                <w:defaultTabStop w:val="720"/>
                <w:r>
                  <w:rPr>
                    <w:lang w:bidi="he-IL"/>
                    <w:rFonts w:hint="cs" w:cs="Times New Roman"/>
                    <w:szCs w:val="24"/>
                    <w:rtl/>
                  </w:rPr>
                  <w:t xml:space="preserve">סעיף 3ח</w:t>
                </w:r>
              </w:p>
            </w:tc>
          </w:tr>
          <w:tr>
            <w:tc>
              <w:p>
                <w:pPr>
                  <w:bidi/>
                  <w:spacing w:before="45" w:after="5" w:line="250" w:lineRule="auto"/>
                </w:pPr>
                <w:defaultTabStop w:val="720"/>
                <w:hyperlink w:anchor="h19">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דיווח שנתי מטעם הממונה</w:t>
                </w:r>
              </w:p>
            </w:tc>
            <w:tc>
              <w:tcPr>
                <w:tcW w:w="800" w:type="pct"/>
              </w:tcPr>
              <w:p>
                <w:pPr>
                  <w:bidi/>
                  <w:spacing w:before="45" w:after="5" w:line="250" w:lineRule="auto"/>
                </w:pPr>
                <w:defaultTabStop w:val="720"/>
                <w:r>
                  <w:rPr>
                    <w:lang w:bidi="he-IL"/>
                    <w:rFonts w:hint="cs" w:cs="Times New Roman"/>
                    <w:szCs w:val="24"/>
                    <w:rtl/>
                  </w:rPr>
                  <w:t xml:space="preserve">סעיף 3ט</w:t>
                </w:r>
              </w:p>
            </w:tc>
          </w:tr>
          <w:tr>
            <w:tc>
              <w:p>
                <w:pPr>
                  <w:bidi/>
                  <w:spacing w:before="45" w:after="5" w:line="250" w:lineRule="auto"/>
                </w:pPr>
                <w:defaultTabStop w:val="720"/>
                <w:hyperlink w:anchor="h20">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עונשין</w:t>
                </w:r>
              </w:p>
            </w:tc>
            <w:tc>
              <w:tcPr>
                <w:tcW w:w="800" w:type="pct"/>
              </w:tcPr>
              <w:p>
                <w:pPr>
                  <w:bidi/>
                  <w:spacing w:before="45" w:after="5" w:line="250" w:lineRule="auto"/>
                </w:pPr>
                <w:defaultTabStop w:val="720"/>
                <w:r>
                  <w:rPr>
                    <w:lang w:bidi="he-IL"/>
                    <w:rFonts w:hint="cs" w:cs="Times New Roman"/>
                    <w:szCs w:val="24"/>
                    <w:rtl/>
                  </w:rPr>
                  <w:t xml:space="preserve">סעיף 4</w:t>
                </w:r>
              </w:p>
            </w:tc>
          </w:tr>
          <w:tr>
            <w:tc>
              <w:p>
                <w:pPr>
                  <w:bidi/>
                  <w:spacing w:before="45" w:after="5" w:line="250" w:lineRule="auto"/>
                </w:pPr>
                <w:defaultTabStop w:val="720"/>
                <w:hyperlink w:anchor="h21">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אחריות נושא משרה בתאגיד</w:t>
                </w:r>
              </w:p>
            </w:tc>
            <w:tc>
              <w:tcPr>
                <w:tcW w:w="800" w:type="pct"/>
              </w:tcPr>
              <w:p>
                <w:pPr>
                  <w:bidi/>
                  <w:spacing w:before="45" w:after="5" w:line="250" w:lineRule="auto"/>
                </w:pPr>
                <w:defaultTabStop w:val="720"/>
                <w:r>
                  <w:rPr>
                    <w:lang w:bidi="he-IL"/>
                    <w:rFonts w:hint="cs" w:cs="Times New Roman"/>
                    <w:szCs w:val="24"/>
                    <w:rtl/>
                  </w:rPr>
                  <w:t xml:space="preserve">סעיף 4א</w:t>
                </w:r>
              </w:p>
            </w:tc>
          </w:tr>
          <w:tr>
            <w:tc>
              <w:p>
                <w:pPr>
                  <w:bidi/>
                  <w:spacing w:before="45" w:after="5" w:line="250" w:lineRule="auto"/>
                </w:pPr>
                <w:defaultTabStop w:val="720"/>
                <w:hyperlink w:anchor="h22">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הטלת עיצום כספי</w:t>
                </w:r>
              </w:p>
            </w:tc>
            <w:tc>
              <w:tcPr>
                <w:tcW w:w="800" w:type="pct"/>
              </w:tcPr>
              <w:p>
                <w:pPr>
                  <w:bidi/>
                  <w:spacing w:before="45" w:after="5" w:line="250" w:lineRule="auto"/>
                </w:pPr>
                <w:defaultTabStop w:val="720"/>
                <w:r>
                  <w:rPr>
                    <w:lang w:bidi="he-IL"/>
                    <w:rFonts w:hint="cs" w:cs="Times New Roman"/>
                    <w:szCs w:val="24"/>
                    <w:rtl/>
                  </w:rPr>
                  <w:t xml:space="preserve">סעיף 4ב</w:t>
                </w:r>
              </w:p>
            </w:tc>
          </w:tr>
          <w:tr>
            <w:tc>
              <w:p>
                <w:pPr>
                  <w:bidi/>
                  <w:spacing w:before="45" w:after="5" w:line="250" w:lineRule="auto"/>
                </w:pPr>
                <w:defaultTabStop w:val="720"/>
                <w:hyperlink w:anchor="h23">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הודעה על כוונת חיוב בעיצום כספי</w:t>
                </w:r>
              </w:p>
            </w:tc>
            <w:tc>
              <w:tcPr>
                <w:tcW w:w="800" w:type="pct"/>
              </w:tcPr>
              <w:p>
                <w:pPr>
                  <w:bidi/>
                  <w:spacing w:before="45" w:after="5" w:line="250" w:lineRule="auto"/>
                </w:pPr>
                <w:defaultTabStop w:val="720"/>
                <w:r>
                  <w:rPr>
                    <w:lang w:bidi="he-IL"/>
                    <w:rFonts w:hint="cs" w:cs="Times New Roman"/>
                    <w:szCs w:val="24"/>
                    <w:rtl/>
                  </w:rPr>
                  <w:t xml:space="preserve">סעיף 4ג</w:t>
                </w:r>
              </w:p>
            </w:tc>
          </w:tr>
          <w:tr>
            <w:tc>
              <w:p>
                <w:pPr>
                  <w:bidi/>
                  <w:spacing w:before="45" w:after="5" w:line="250" w:lineRule="auto"/>
                </w:pPr>
                <w:defaultTabStop w:val="720"/>
                <w:hyperlink w:anchor="h24">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טיעון בפני הממונה</w:t>
                </w:r>
              </w:p>
            </w:tc>
            <w:tc>
              <w:tcPr>
                <w:tcW w:w="800" w:type="pct"/>
              </w:tcPr>
              <w:p>
                <w:pPr>
                  <w:bidi/>
                  <w:spacing w:before="45" w:after="5" w:line="250" w:lineRule="auto"/>
                </w:pPr>
                <w:defaultTabStop w:val="720"/>
                <w:r>
                  <w:rPr>
                    <w:lang w:bidi="he-IL"/>
                    <w:rFonts w:hint="cs" w:cs="Times New Roman"/>
                    <w:szCs w:val="24"/>
                    <w:rtl/>
                  </w:rPr>
                  <w:t xml:space="preserve">סעיף 4ד</w:t>
                </w:r>
              </w:p>
            </w:tc>
          </w:tr>
          <w:tr>
            <w:tc>
              <w:p>
                <w:pPr>
                  <w:bidi/>
                  <w:spacing w:before="45" w:after="5" w:line="250" w:lineRule="auto"/>
                </w:pPr>
                <w:defaultTabStop w:val="720"/>
                <w:hyperlink w:anchor="h25">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הודעת חיוב</w:t>
                </w:r>
              </w:p>
            </w:tc>
            <w:tc>
              <w:tcPr>
                <w:tcW w:w="800" w:type="pct"/>
              </w:tcPr>
              <w:p>
                <w:pPr>
                  <w:bidi/>
                  <w:spacing w:before="45" w:after="5" w:line="250" w:lineRule="auto"/>
                </w:pPr>
                <w:defaultTabStop w:val="720"/>
                <w:r>
                  <w:rPr>
                    <w:lang w:bidi="he-IL"/>
                    <w:rFonts w:hint="cs" w:cs="Times New Roman"/>
                    <w:szCs w:val="24"/>
                    <w:rtl/>
                  </w:rPr>
                  <w:t xml:space="preserve">סעיף 4ה</w:t>
                </w:r>
              </w:p>
            </w:tc>
          </w:tr>
          <w:tr>
            <w:tc>
              <w:p>
                <w:pPr>
                  <w:bidi/>
                  <w:spacing w:before="45" w:after="5" w:line="250" w:lineRule="auto"/>
                </w:pPr>
                <w:defaultTabStop w:val="720"/>
                <w:hyperlink w:anchor="h26">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סכום מעודכן של העיצום הכספי</w:t>
                </w:r>
              </w:p>
            </w:tc>
            <w:tc>
              <w:tcPr>
                <w:tcW w:w="800" w:type="pct"/>
              </w:tcPr>
              <w:p>
                <w:pPr>
                  <w:bidi/>
                  <w:spacing w:before="45" w:after="5" w:line="250" w:lineRule="auto"/>
                </w:pPr>
                <w:defaultTabStop w:val="720"/>
                <w:r>
                  <w:rPr>
                    <w:lang w:bidi="he-IL"/>
                    <w:rFonts w:hint="cs" w:cs="Times New Roman"/>
                    <w:szCs w:val="24"/>
                    <w:rtl/>
                  </w:rPr>
                  <w:t xml:space="preserve">סעיף 4ו</w:t>
                </w:r>
              </w:p>
            </w:tc>
          </w:tr>
          <w:tr>
            <w:tc>
              <w:p>
                <w:pPr>
                  <w:bidi/>
                  <w:spacing w:before="45" w:after="5" w:line="250" w:lineRule="auto"/>
                </w:pPr>
                <w:defaultTabStop w:val="720"/>
                <w:hyperlink w:anchor="h27">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הפרה נמשכת והפרה חוזרת</w:t>
                </w:r>
              </w:p>
            </w:tc>
            <w:tc>
              <w:tcPr>
                <w:tcW w:w="800" w:type="pct"/>
              </w:tcPr>
              <w:p>
                <w:pPr>
                  <w:bidi/>
                  <w:spacing w:before="45" w:after="5" w:line="250" w:lineRule="auto"/>
                </w:pPr>
                <w:defaultTabStop w:val="720"/>
                <w:r>
                  <w:rPr>
                    <w:lang w:bidi="he-IL"/>
                    <w:rFonts w:hint="cs" w:cs="Times New Roman"/>
                    <w:szCs w:val="24"/>
                    <w:rtl/>
                  </w:rPr>
                  <w:t xml:space="preserve">סעיף 4ז</w:t>
                </w:r>
              </w:p>
            </w:tc>
          </w:tr>
          <w:tr>
            <w:tc>
              <w:p>
                <w:pPr>
                  <w:bidi/>
                  <w:spacing w:before="45" w:after="5" w:line="250" w:lineRule="auto"/>
                </w:pPr>
                <w:defaultTabStop w:val="720"/>
                <w:hyperlink w:anchor="h28">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סכומים מופחתים</w:t>
                </w:r>
              </w:p>
            </w:tc>
            <w:tc>
              <w:tcPr>
                <w:tcW w:w="800" w:type="pct"/>
              </w:tcPr>
              <w:p>
                <w:pPr>
                  <w:bidi/>
                  <w:spacing w:before="45" w:after="5" w:line="250" w:lineRule="auto"/>
                </w:pPr>
                <w:defaultTabStop w:val="720"/>
                <w:r>
                  <w:rPr>
                    <w:lang w:bidi="he-IL"/>
                    <w:rFonts w:hint="cs" w:cs="Times New Roman"/>
                    <w:szCs w:val="24"/>
                    <w:rtl/>
                  </w:rPr>
                  <w:t xml:space="preserve">סעיף 4ח</w:t>
                </w:r>
              </w:p>
            </w:tc>
          </w:tr>
          <w:tr>
            <w:tc>
              <w:p>
                <w:pPr>
                  <w:bidi/>
                  <w:spacing w:before="45" w:after="5" w:line="250" w:lineRule="auto"/>
                </w:pPr>
                <w:defaultTabStop w:val="720"/>
                <w:hyperlink w:anchor="h29">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המועד לתשלום העיצום הכספי</w:t>
                </w:r>
              </w:p>
            </w:tc>
            <w:tc>
              <w:tcPr>
                <w:tcW w:w="800" w:type="pct"/>
              </w:tcPr>
              <w:p>
                <w:pPr>
                  <w:bidi/>
                  <w:spacing w:before="45" w:after="5" w:line="250" w:lineRule="auto"/>
                </w:pPr>
                <w:defaultTabStop w:val="720"/>
                <w:r>
                  <w:rPr>
                    <w:lang w:bidi="he-IL"/>
                    <w:rFonts w:hint="cs" w:cs="Times New Roman"/>
                    <w:szCs w:val="24"/>
                    <w:rtl/>
                  </w:rPr>
                  <w:t xml:space="preserve">סעיף 4ט</w:t>
                </w:r>
              </w:p>
            </w:tc>
          </w:tr>
          <w:tr>
            <w:tc>
              <w:p>
                <w:pPr>
                  <w:bidi/>
                  <w:spacing w:before="45" w:after="5" w:line="250" w:lineRule="auto"/>
                </w:pPr>
                <w:defaultTabStop w:val="720"/>
                <w:hyperlink w:anchor="h30">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ריבית שקלית ודמי פיגורים</w:t>
                </w:r>
              </w:p>
            </w:tc>
            <w:tc>
              <w:tcPr>
                <w:tcW w:w="800" w:type="pct"/>
              </w:tcPr>
              <w:p>
                <w:pPr>
                  <w:bidi/>
                  <w:spacing w:before="45" w:after="5" w:line="250" w:lineRule="auto"/>
                </w:pPr>
                <w:defaultTabStop w:val="720"/>
                <w:r>
                  <w:rPr>
                    <w:lang w:bidi="he-IL"/>
                    <w:rFonts w:hint="cs" w:cs="Times New Roman"/>
                    <w:szCs w:val="24"/>
                    <w:rtl/>
                  </w:rPr>
                  <w:t xml:space="preserve">סעיף 4י</w:t>
                </w:r>
              </w:p>
            </w:tc>
          </w:tr>
          <w:tr>
            <w:tc>
              <w:p>
                <w:pPr>
                  <w:bidi/>
                  <w:spacing w:before="45" w:after="5" w:line="250" w:lineRule="auto"/>
                </w:pPr>
                <w:defaultTabStop w:val="720"/>
                <w:hyperlink w:anchor="h31">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גביה</w:t>
                </w:r>
              </w:p>
            </w:tc>
            <w:tc>
              <w:tcPr>
                <w:tcW w:w="800" w:type="pct"/>
              </w:tcPr>
              <w:p>
                <w:pPr>
                  <w:bidi/>
                  <w:spacing w:before="45" w:after="5" w:line="250" w:lineRule="auto"/>
                </w:pPr>
                <w:defaultTabStop w:val="720"/>
                <w:r>
                  <w:rPr>
                    <w:lang w:bidi="he-IL"/>
                    <w:rFonts w:hint="cs" w:cs="Times New Roman"/>
                    <w:szCs w:val="24"/>
                    <w:rtl/>
                  </w:rPr>
                  <w:t xml:space="preserve">סעיף 4יא</w:t>
                </w:r>
              </w:p>
            </w:tc>
          </w:tr>
          <w:tr>
            <w:tc>
              <w:p>
                <w:pPr>
                  <w:bidi/>
                  <w:spacing w:before="45" w:after="5" w:line="250" w:lineRule="auto"/>
                </w:pPr>
                <w:defaultTabStop w:val="720"/>
                <w:hyperlink w:anchor="h32">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שמירת אחריות פלילית</w:t>
                </w:r>
              </w:p>
            </w:tc>
            <w:tc>
              <w:tcPr>
                <w:tcW w:w="800" w:type="pct"/>
              </w:tcPr>
              <w:p>
                <w:pPr>
                  <w:bidi/>
                  <w:spacing w:before="45" w:after="5" w:line="250" w:lineRule="auto"/>
                </w:pPr>
                <w:defaultTabStop w:val="720"/>
                <w:r>
                  <w:rPr>
                    <w:lang w:bidi="he-IL"/>
                    <w:rFonts w:hint="cs" w:cs="Times New Roman"/>
                    <w:szCs w:val="24"/>
                    <w:rtl/>
                  </w:rPr>
                  <w:t xml:space="preserve">סעיף 4יב</w:t>
                </w:r>
              </w:p>
            </w:tc>
          </w:tr>
          <w:tr>
            <w:tc>
              <w:p>
                <w:pPr>
                  <w:bidi/>
                  <w:spacing w:before="45" w:after="5" w:line="250" w:lineRule="auto"/>
                </w:pPr>
                <w:defaultTabStop w:val="720"/>
                <w:hyperlink w:anchor="h33">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ערר</w:t>
                </w:r>
              </w:p>
            </w:tc>
            <w:tc>
              <w:tcPr>
                <w:tcW w:w="800" w:type="pct"/>
              </w:tcPr>
              <w:p>
                <w:pPr>
                  <w:bidi/>
                  <w:spacing w:before="45" w:after="5" w:line="250" w:lineRule="auto"/>
                </w:pPr>
                <w:defaultTabStop w:val="720"/>
                <w:r>
                  <w:rPr>
                    <w:lang w:bidi="he-IL"/>
                    <w:rFonts w:hint="cs" w:cs="Times New Roman"/>
                    <w:szCs w:val="24"/>
                    <w:rtl/>
                  </w:rPr>
                  <w:t xml:space="preserve">סעיף 4יג</w:t>
                </w:r>
              </w:p>
            </w:tc>
          </w:tr>
          <w:tr>
            <w:tc>
              <w:p>
                <w:pPr>
                  <w:bidi/>
                  <w:spacing w:before="45" w:after="5" w:line="250" w:lineRule="auto"/>
                </w:pPr>
                <w:defaultTabStop w:val="720"/>
                <w:hyperlink w:anchor="h34">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הטלת עיצום כספי על תאגיד בנקאי או מבטח</w:t>
                </w:r>
              </w:p>
            </w:tc>
            <w:tc>
              <w:tcPr>
                <w:tcW w:w="800" w:type="pct"/>
              </w:tcPr>
              <w:p>
                <w:pPr>
                  <w:bidi/>
                  <w:spacing w:before="45" w:after="5" w:line="250" w:lineRule="auto"/>
                </w:pPr>
                <w:defaultTabStop w:val="720"/>
                <w:r>
                  <w:rPr>
                    <w:lang w:bidi="he-IL"/>
                    <w:rFonts w:hint="cs" w:cs="Times New Roman"/>
                    <w:szCs w:val="24"/>
                    <w:rtl/>
                  </w:rPr>
                  <w:t xml:space="preserve">סעיף 4יד</w:t>
                </w:r>
              </w:p>
            </w:tc>
          </w:tr>
          <w:tr>
            <w:tc>
              <w:p>
                <w:pPr>
                  <w:bidi/>
                  <w:spacing w:before="45" w:after="5" w:line="250" w:lineRule="auto"/>
                </w:pPr>
                <w:defaultTabStop w:val="720"/>
                <w:hyperlink w:anchor="h35">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תחולה</w:t>
                </w:r>
              </w:p>
            </w:tc>
            <w:tc>
              <w:tcPr>
                <w:tcW w:w="800" w:type="pct"/>
              </w:tcPr>
              <w:p>
                <w:pPr>
                  <w:bidi/>
                  <w:spacing w:before="45" w:after="5" w:line="250" w:lineRule="auto"/>
                </w:pPr>
                <w:defaultTabStop w:val="720"/>
                <w:r>
                  <w:rPr>
                    <w:lang w:bidi="he-IL"/>
                    <w:rFonts w:hint="cs" w:cs="Times New Roman"/>
                    <w:szCs w:val="24"/>
                    <w:rtl/>
                  </w:rPr>
                  <w:t xml:space="preserve">סעיף 5</w:t>
                </w:r>
              </w:p>
            </w:tc>
          </w:tr>
          <w:tr>
            <w:tc>
              <w:p>
                <w:pPr>
                  <w:bidi/>
                  <w:spacing w:before="45" w:after="5" w:line="250" w:lineRule="auto"/>
                </w:pPr>
                <w:defaultTabStop w:val="720"/>
                <w:hyperlink w:anchor="h36">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ביצוע ותקנות</w:t>
                </w:r>
              </w:p>
            </w:tc>
            <w:tc>
              <w:tcPr>
                <w:tcW w:w="800" w:type="pct"/>
              </w:tcPr>
              <w:p>
                <w:pPr>
                  <w:bidi/>
                  <w:spacing w:before="45" w:after="5" w:line="250" w:lineRule="auto"/>
                </w:pPr>
                <w:defaultTabStop w:val="720"/>
                <w:r>
                  <w:rPr>
                    <w:lang w:bidi="he-IL"/>
                    <w:rFonts w:hint="cs" w:cs="Times New Roman"/>
                    <w:szCs w:val="24"/>
                    <w:rtl/>
                  </w:rPr>
                  <w:t xml:space="preserve">סעיף 6</w:t>
                </w:r>
              </w:p>
            </w:tc>
          </w:tr>
          <w:tr>
            <w:tc>
              <w:p>
                <w:pPr>
                  <w:bidi/>
                  <w:spacing w:before="45" w:after="5" w:line="250" w:lineRule="auto"/>
                </w:pPr>
                <w:defaultTabStop w:val="720"/>
                <w:hyperlink w:anchor="h37">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תחילה</w:t>
                </w:r>
              </w:p>
            </w:tc>
            <w:tc>
              <w:tcPr>
                <w:tcW w:w="800" w:type="pct"/>
              </w:tcPr>
              <w:p>
                <w:pPr>
                  <w:bidi/>
                  <w:spacing w:before="45" w:after="5" w:line="250" w:lineRule="auto"/>
                </w:pPr>
                <w:defaultTabStop w:val="720"/>
                <w:r>
                  <w:rPr>
                    <w:lang w:bidi="he-IL"/>
                    <w:rFonts w:hint="cs" w:cs="Times New Roman"/>
                    <w:szCs w:val="24"/>
                    <w:rtl/>
                  </w:rPr>
                  <w:t xml:space="preserve">סעיף 7</w:t>
                </w:r>
              </w:p>
            </w:tc>
          </w:tr>
          <w:tr>
            <w:tc>
              <w:p>
                <w:pPr>
                  <w:bidi/>
                  <w:spacing w:before="45" w:after="5" w:line="250" w:lineRule="auto"/>
                </w:pPr>
                <w:defaultTabStop w:val="720"/>
                <w:hyperlink w:anchor="h38">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תוספת</w:t>
                </w:r>
              </w:p>
            </w:tc>
          </w:tr>
        </w:tbl>
        <w:br w:type="page"/>
      </w:r>
    </w:p>
    <w:p>
      <w:pPr>
        <w:bidi/>
        <w:spacing w:before="45" w:after="70" w:line="250" w:lineRule="auto"/>
        <w:jc w:val="center"/>
      </w:pPr>
      <w:defaultTabStop w:val="720"/>
      <w:r>
        <w:rPr>
          <w:lang w:bidi="he-IL"/>
          <w:rFonts w:hint="cs" w:cs="FrankRuehl"/>
          <w:szCs w:val="32"/>
          <w:rtl/>
        </w:rPr>
        <w:t xml:space="preserve">חוק המכר (דירות) (הבטחת השקעות של רוכשי דירות), תשל"ה-1974</w:t>
      </w:r>
    </w:p>
    <w:p>
      <w:pPr>
        <w:bidi/>
        <w:spacing w:before="45" w:after="50" w:line="250" w:lineRule="auto"/>
        <w:ind/>
        <w:jc w:val="both"/>
        <w:tabs>
          <w:tab w:pos="720"/>
          <w:tab w:pos="1440"/>
          <w:tab w:pos="2160"/>
          <w:tab w:pos="2880"/>
          <w:tab w:pos="3600"/>
        </w:tabs>
        <w:ind w:start="720" w:hanging="720"/>
      </w:pPr>
      <w:defaultTabStop w:val="720"/>
      <w:bookmarkStart w:name="h1" w:id="1"/>
      <w:bookmarkEnd w:id="1"/>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הגדרות</w:t>
                </w:r>
              </w:p>
            </w:txbxContent>
          </v:textbox>
        </v:rect>
      </w:pict>
      <w:r>
        <w:rPr>
          <w:lang w:bidi="he-IL"/>
          <w:rFonts w:hint="cs" w:cs="FrankRuehl"/>
          <w:szCs w:val="34"/>
          <w:rtl/>
        </w:rPr>
        <w:t xml:space="preserve">1.</w:t>
      </w:r>
      <w:r>
        <w:rPr>
          <w:lang w:bidi="he-IL"/>
          <w:rFonts w:hint="cs" w:cs="FrankRuehl"/>
          <w:szCs w:val="26"/>
          <w:rtl/>
        </w:rPr>
        <w:tab/>
        <w:t xml:space="preserve">בחוק זה –</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"דירה" – חדר או מערכת חדרים למגורים, לעסק או לכל צורך אחר, לרבות חלקים מסוימים מהרכוש המשותף הצמודים להם כאמור בסעיף 55(ג) לחוק המקרקעין, התשכ"ט-1969;</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"הלוואה לרכישת דירה" – הלוואה שתאגיד בנקאי, מבטח או תאגיד אחר נותן לצורך רכישת דירה ושלהבטחת החזרתה נרשמו משכנתה או משכון לגבי הזכויות במקרקעין;</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"חוק הפיקוח על הביטוח" – חוק הפיקוח על שירותים פיננסיים (ביטוח), התשמ"א-1981;</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"ליווי פיננסי" – מימון לפרויקט בנייה על ידי תאגיד בנקאי או על ידי מבטח במסגרת הסכם ליווי בין המוכר לבין התאגיד הבנקאי או המבטח;</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"מבטח" – כהגדרתו בחוק הפיקוח על הביטוח;</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"מכירה" – לרבות שכירות לתקופה שלמעלה מעשרים וחמש שנים, לרבות התחייבות למכור או להחכיר כאמור או לגרום שיימכר או יוחכר כאמור, ולרבות פעולה באיגוד כמשמעותה בחוק מס שבח מקרקעין, תשכ"ג-1963;</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"מוכר" – מי שמוכר דירה שבנה או שעתיד לבנות בעצמו או על ידי אדם אחר, על קרקע שלו או של זולתו, על מנת למכרה, לרבות מי שמוכר דירה שקנה אותה, על מנת למכרה, מאדם שבנה או שעתיד לבנות אותה כאמור, למעט מוכר דירה שלא בנה אותה בעצמו ולא קיבל מהקונה תמורה בעד מכירתה.</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"מחיר הדירה" – כל סכום שהקונה התחייב לשלם למוכר בחוזה המכר בקשר לרכישת הדירה;</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"ממונה" – מי שמונה לפי הוראות סעיף 3ד כממונה לעניין חוק זה;</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"הממונה על שוק ההון" – הממונה כהגדרתו בחוק הפיקוח על הביטוח;</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"המפקח על הבנקים", ו"הוראות ניהול בנקאי תקין" – כמשמעותם בסעיף 5 לפקודת הבנקאות, 1941 (להלן – פקודת הבנקאות);</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"מימון לפרויקט בנייה" – שיטת מימון שבה המוכר מנהל את כל הפעילות הכספית של פרויקט הבנייה שלו בחשבון בנק נפרד אחד המשמש למטרה זו בלבד (להלן – חשבון הליווי);</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"פרויקט בנייה" – בנייה של דירה או של בניין על ידי מוכר;</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"תאגיד בנקאי" – כהגדרתו בחוק הבנקאות (רישוי), התשמ"א-1981;</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"תאגיד מלווה" – תאגיד בנקאי או מבטח, לפי העניין, הנותן ליווי פיננסי;</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"השר" – שר הבינוי והשיכון.</w:t>
      </w:r>
    </w:p>
    <w:p>
      <w:pPr>
        <w:bidi/>
        <w:spacing w:before="45" w:after="50" w:line="250" w:lineRule="auto"/>
        <w:ind/>
        <w:jc w:val="both"/>
        <w:tabs>
          <w:tab w:pos="720"/>
          <w:tab w:pos="1440"/>
          <w:tab w:pos="2160"/>
          <w:tab w:pos="2880"/>
          <w:tab w:pos="3600"/>
        </w:tabs>
        <w:ind w:start="720" w:hanging="720"/>
      </w:pPr>
      <w:defaultTabStop w:val="720"/>
      <w:bookmarkStart w:name="h2" w:id="2"/>
      <w:bookmarkEnd w:id="2"/>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הבטחת כספי הקונה</w:t>
                </w:r>
              </w:p>
            </w:txbxContent>
          </v:textbox>
        </v:rect>
      </w:pict>
      <w:r>
        <w:rPr>
          <w:lang w:bidi="he-IL"/>
          <w:rFonts w:hint="cs" w:cs="FrankRuehl"/>
          <w:szCs w:val="34"/>
          <w:rtl/>
        </w:rPr>
        <w:t xml:space="preserve">2.</w:t>
      </w:r>
      <w:r>
        <w:rPr>
          <w:lang w:bidi="he-IL"/>
          <w:rFonts w:hint="cs" w:cs="FrankRuehl"/>
          <w:szCs w:val="26"/>
          <w:rtl/>
        </w:rPr>
        <w:tab/>
        <w:t xml:space="preserve">לא יקבל מוכר מקונה, על חשבון מחיר הדירה, סכום העולה על שבעה אחוזים מהמחיר, אלא אם עשה אחת מאלה, והכל על אף האמור בחוזה המכר: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(1)</w:t>
      </w:r>
      <w:r>
        <w:rPr>
          <w:lang w:bidi="he-IL"/>
          <w:rFonts w:hint="cs" w:cs="FrankRuehl"/>
          <w:szCs w:val="26"/>
          <w:rtl/>
        </w:rPr>
        <w:tab/>
        <w:t xml:space="preserve">מסר לקונה ערבות בנקאית להבטחת החזרתם של כל הכספים ששילם לו הקונה על חשבון המחיר למעט רכיב המע"מ, כהגדרתו בסעיף 3ג1, הנכלל בכספים אלה, במקרה שלא יוכל להעביר לקונה בעלות או זכות אחרת בדירה כמוסכם בחוזה המכר, מחמת עיקול שהוטל על הדירה או על הקרקע שעליה היא נבנית או מחמת צו הקפאת הליכים, צו לקבלת נכסים, צו פירוק או צו למינוי כונס נכסים שניתנו נגד המוכר או נגד בעל הקרקע האמור, או מחמת נסיבות שבהן נוצרה מניעה מוחלטת למסור את ההחזקה בדירה, ואולם ביטול חוזה המכר כשלעצמו לא יהווה מניעה מוחלטת לעניין זה; השר, בהסכמת המפקח על בנקים, רשאי לקבוע לעניין זה את נוסח הערבות הבנקאית;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(2)</w:t>
      </w:r>
      <w:r>
        <w:rPr>
          <w:lang w:bidi="he-IL"/>
          <w:rFonts w:hint="cs" w:cs="FrankRuehl"/>
          <w:szCs w:val="26"/>
          <w:rtl/>
        </w:rPr>
        <w:tab/>
        <w:t xml:space="preserve">ביטח את עצמו אצל מבטח, שאישר לעניין זה הממונה על שוק ההון, להבטחת החזרתם של כל ההכספים ששילם לו הקונה על חשבון המחיר, למעט רכיב המע"מ, כהגדרתו בסעיף 3ג1, הנכלל בכספים אלה, בהתקיים הנסיבות כאמור בפסקה (1), והקונה צויין כמוטב על פי פוליסת הביטוח ודמי הביטוח שולמו מראש; שר האוצר, רשאי לקבוע לעניין זה את נוסח פוליסת הביטוח;</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(3)</w:t>
      </w:r>
      <w:r>
        <w:rPr>
          <w:lang w:bidi="he-IL"/>
          <w:rFonts w:hint="cs" w:cs="FrankRuehl"/>
          <w:szCs w:val="26"/>
          <w:rtl/>
        </w:rPr>
        <w:tab/>
        <w:t xml:space="preserve">שעבד את הדירה, או חלק יחסי מהקרקע שעליה היא נבנית, במשכנתה ראשונה לטובת הקונה או לטובת חברת נאמנות שאישר לכך השר, להבטחת החזרתם של כל הכספים ששילם לו הקונה על חשבון המחיר, בהתקיים הנסיבות כאמור בפסקה (1);</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(4)</w:t>
      </w:r>
      <w:r>
        <w:rPr>
          <w:lang w:bidi="he-IL"/>
          <w:rFonts w:hint="cs" w:cs="FrankRuehl"/>
          <w:szCs w:val="26"/>
          <w:rtl/>
        </w:rPr>
        <w:tab/>
        <w:t xml:space="preserve">רשם לגבי הדירה, או לגבי חלק יחסי של הקרקע שעליה היא נבנית, הערת אזהרה על מכירת הדירה בהתאם להוראות סעיף 126 לחוק המקרקעין, תשכ"ט-1969, ובלבד שלא נרשמו לגביהם שעבוד, עיקול או זכות של צד שלישי שיש להם עדיפות על ההערה;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(5)</w:t>
      </w:r>
      <w:r>
        <w:rPr>
          <w:lang w:bidi="he-IL"/>
          <w:rFonts w:hint="cs" w:cs="FrankRuehl"/>
          <w:szCs w:val="26"/>
          <w:rtl/>
        </w:rPr>
        <w:tab/>
        <w:t xml:space="preserve">העביר על שם הקונה את הבעלות או זכות אחרת בדירה, או בחלק יחסי מהקרקע שעליה היא נבנית, כמוסכם בחוזה המכר, כשהדירה או הקרקע נקיים מכל שעבוד, עיקול או זכות של צד שלישי.</w:t>
      </w:r>
    </w:p>
    <w:p>
      <w:pPr>
        <w:bidi/>
        <w:spacing w:before="45" w:after="50" w:line="250" w:lineRule="auto"/>
        <w:ind/>
        <w:jc w:val="both"/>
        <w:tabs>
          <w:tab w:pos="720"/>
          <w:tab w:pos="1440"/>
          <w:tab w:pos="2160"/>
          <w:tab w:pos="2880"/>
          <w:tab w:pos="3600"/>
        </w:tabs>
        <w:ind w:start="720" w:hanging="720"/>
      </w:pPr>
      <w:defaultTabStop w:val="720"/>
      <w:bookmarkStart w:name="h3" w:id="3"/>
      <w:bookmarkEnd w:id="3"/>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החלפת ערובה</w:t>
                </w:r>
              </w:p>
            </w:txbxContent>
          </v:textbox>
        </v:rect>
      </w:pict>
      <w:r>
        <w:rPr>
          <w:lang w:bidi="he-IL"/>
          <w:rFonts w:hint="cs" w:cs="FrankRuehl"/>
          <w:szCs w:val="34"/>
          <w:rtl/>
        </w:rPr>
        <w:t xml:space="preserve">2א.</w:t>
      </w:r>
      <w:r>
        <w:rPr>
          <w:lang w:bidi="he-IL"/>
          <w:rFonts w:hint="cs" w:cs="FrankRuehl"/>
          <w:szCs w:val="26"/>
          <w:rtl/>
        </w:rPr>
        <w:tab/>
        <w:t xml:space="preserve">מוכר שהבטיח את כספי הקונה לפי סעיף 2(1) או (2) יהיה רשאי להחליף את הערובה באחת מדרכי הערובה לפי סעיף 2(3), (4) או (5), ובלבד שהושלמה בניית הדירה ונמסרה ההחזקה בה לקונה, והכל אם לא נקבע בחוזה המכר שהמוכר אינו רשאי להחליף את הערובה; אין בהוראות סעיף זה כדי לגרוע מהוראות סעיף 3.</w:t>
      </w:r>
    </w:p>
    <w:p>
      <w:pPr>
        <w:bidi/>
        <w:spacing w:before="45" w:after="50" w:line="250" w:lineRule="auto"/>
        <w:ind/>
        <w:jc w:val="both"/>
        <w:tabs>
          <w:tab w:pos="720"/>
          <w:tab w:pos="1440"/>
          <w:tab w:pos="2160"/>
          <w:tab w:pos="2880"/>
          <w:tab w:pos="3600"/>
        </w:tabs>
        <w:ind w:start="1440" w:hanging="1440"/>
      </w:pPr>
      <w:defaultTabStop w:val="720"/>
      <w:bookmarkStart w:name="h4" w:id="4"/>
      <w:bookmarkEnd w:id="4"/>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חובת יידוע בכתב</w:t>
                </w:r>
              </w:p>
            </w:txbxContent>
          </v:textbox>
        </v:rect>
      </w:pict>
      <w:r>
        <w:rPr>
          <w:lang w:bidi="he-IL"/>
          <w:rFonts w:hint="cs" w:cs="FrankRuehl"/>
          <w:szCs w:val="34"/>
          <w:rtl/>
        </w:rPr>
        <w:t xml:space="preserve">2א1.</w:t>
        <w:tab/>
      </w:r>
      <w:r>
        <w:rPr>
          <w:lang w:bidi="he-IL"/>
          <w:rFonts w:hint="cs" w:cs="FrankRuehl"/>
          <w:szCs w:val="26"/>
          <w:rtl/>
        </w:rPr>
        <w:t xml:space="preserve">(א)</w:t>
      </w:r>
      <w:r>
        <w:rPr>
          <w:lang w:bidi="he-IL"/>
          <w:rFonts w:hint="cs" w:cs="FrankRuehl"/>
          <w:szCs w:val="26"/>
          <w:rtl/>
        </w:rPr>
        <w:tab/>
        <w:t xml:space="preserve">לא ימכור מוכר דירה לקונה, אלא אם כן הודיע לקונה בכתב, במועד חתימת חוזה המכר, על זכותו על פי חוק זה להבטחת הכספים ששולמו ועל הדרכים שנקבעו לפי החוק לעניין זה.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מוכר שלא התקשר עם תאגיד בנקאי או מבטח בהסכם למתן ליווי פיננסי, יודיע על כך לקונה בכתב, עד מועד חתימת חוזה המכר; השר רשאי לקבוע הוראות בדבר אופן ומועד מסירת ההודעה.</w:t>
      </w:r>
    </w:p>
    <w:p>
      <w:pPr>
        <w:bidi/>
        <w:spacing w:before="45" w:after="50" w:line="250" w:lineRule="auto"/>
        <w:ind/>
        <w:jc w:val="both"/>
        <w:tabs>
          <w:tab w:pos="720"/>
          <w:tab w:pos="1440"/>
          <w:tab w:pos="2160"/>
          <w:tab w:pos="2880"/>
          <w:tab w:pos="3600"/>
        </w:tabs>
        <w:ind w:start="1440" w:hanging="1440"/>
      </w:pPr>
      <w:defaultTabStop w:val="720"/>
      <w:bookmarkStart w:name="h5" w:id="5"/>
      <w:bookmarkEnd w:id="5"/>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הבטחת כספי קונה דירה על מקרקעי ישראל</w:t>
                </w:r>
              </w:p>
            </w:txbxContent>
          </v:textbox>
        </v:rect>
      </w:pict>
      <w:r>
        <w:rPr>
          <w:lang w:bidi="he-IL"/>
          <w:rFonts w:hint="cs" w:cs="FrankRuehl"/>
          <w:szCs w:val="34"/>
          <w:rtl/>
        </w:rPr>
        <w:t xml:space="preserve">2ב.</w:t>
        <w:tab/>
      </w:r>
      <w:r>
        <w:rPr>
          <w:lang w:bidi="he-IL"/>
          <w:rFonts w:hint="cs" w:cs="FrankRuehl"/>
          <w:szCs w:val="26"/>
          <w:rtl/>
        </w:rPr>
        <w:t xml:space="preserve">(א)</w:t>
      </w:r>
      <w:r>
        <w:rPr>
          <w:lang w:bidi="he-IL"/>
          <w:rFonts w:hint="cs" w:cs="FrankRuehl"/>
          <w:szCs w:val="26"/>
          <w:rtl/>
        </w:rPr>
        <w:tab/>
        <w:t xml:space="preserve">היתה הקרקע שעליה הדירה הנמכרת ממקרקעי ישראל כמשמעותם בחוק-יסוד: מקרקעי ישראל, לא יהא המוכר חייב להבטיח את כספי הקונה לפי סעיף 2 אלא לתקופה שתסתיים בהתמלא כל אלה: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הושלמה בניית הדירה בהתאם לחוזה המכר;</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נמסרה ההחזקה בדירה לקונה;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נחתם חוזה בין הקונה לבין רשות מקרקעי ישראל (להלן – הרשות) ובו התחייבה הרשות להביא לידי רישום הקונה כשוכר הדירה לתקופה שלמעלה מעשרים וחמש שנים כשהיא נקיה מכל שעבוד או התחייבות לשעבוד, מעיקול, ומכל זכות של צד שלישי, למעט שעבוד או התחייבות לשעבוד לחובת הקונה.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חוזה שנחתם בין הקונה לבין הרשות כאמור בפסקה (3) של סעיף קטן (א), בין יום כ"א בשבט התשל"ה (2 בפברואר 1975) לבין יום ב' בניסן התשל"ט (30 במרס 1979), יראו כאילו כלולה בו התחייבות הרשות כאמור בפסקה (3) האמורה.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חויבה הרשות לפצות את הקונה על אי מילוי התחייבויותיה על פי פסקה (3) של סעיף קטן (א), ישפה המוכר את הרשות זולת אם הוכיח כי הרשות היא האחראית לעילת הפיצוי.</w:t>
      </w:r>
    </w:p>
    <w:p>
      <w:pPr>
        <w:bidi/>
        <w:spacing w:before="45" w:after="50" w:line="250" w:lineRule="auto"/>
        <w:ind/>
        <w:jc w:val="both"/>
        <w:tabs>
          <w:tab w:pos="720"/>
          <w:tab w:pos="1440"/>
          <w:tab w:pos="2160"/>
          <w:tab w:pos="2880"/>
          <w:tab w:pos="3600"/>
        </w:tabs>
        <w:ind w:start="1440" w:hanging="1440"/>
      </w:pPr>
      <w:defaultTabStop w:val="720"/>
      <w:bookmarkStart w:name="h6" w:id="6"/>
      <w:bookmarkEnd w:id="6"/>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הודעה בדבר מחיקת רישום שעבוד</w:t>
                </w:r>
              </w:p>
            </w:txbxContent>
          </v:textbox>
        </v:rect>
      </w:pict>
      <w:r>
        <w:rPr>
          <w:lang w:bidi="he-IL"/>
          <w:rFonts w:hint="cs" w:cs="FrankRuehl"/>
          <w:szCs w:val="34"/>
          <w:rtl/>
        </w:rPr>
        <w:t xml:space="preserve">2ג.</w:t>
        <w:tab/>
      </w:r>
      <w:r>
        <w:rPr>
          <w:lang w:bidi="he-IL"/>
          <w:rFonts w:hint="cs" w:cs="FrankRuehl"/>
          <w:szCs w:val="26"/>
          <w:rtl/>
        </w:rPr>
        <w:t xml:space="preserve">(א)</w:t>
      </w:r>
      <w:r>
        <w:rPr>
          <w:lang w:bidi="he-IL"/>
          <w:rFonts w:hint="cs" w:cs="FrankRuehl"/>
          <w:szCs w:val="26"/>
          <w:rtl/>
        </w:rPr>
        <w:tab/>
        <w:t xml:space="preserve">בסעיף זה –</w:t>
      </w:r>
    </w:p>
    <w:p>
      <w:pPr>
        <w:bidi/>
        <w:spacing w:before="45" w:after="50" w:line="250" w:lineRule="auto"/>
        <w:ind/>
        <w:jc w:val="both"/>
        <w:tabs>
          <w:tab w:pos="720"/>
          <w:tab w:pos="1440"/>
          <w:tab w:pos="2160"/>
          <w:tab w:pos="2880"/>
          <w:tab w:pos="3600"/>
        </w:tabs>
      </w:pPr>
      <w:defaultTabStop w:val="720"/>
      <w:r>
        <w:rPr>
          <w:lang w:bidi="he-IL"/>
          <w:rFonts w:hint="cs" w:cs="FrankRuehl"/>
          <w:szCs w:val="26"/>
          <w:rtl/>
        </w:rPr>
        <w:br/>
      </w:r>
    </w:p>
    <w:p>
      <w:pPr>
        <w:bidi/>
        <w:spacing w:before="45" w:after="50" w:line="250" w:lineRule="auto"/>
        <w:ind/>
        <w:jc w:val="both"/>
        <w:tabs>
          <w:tab w:pos="720"/>
          <w:tab w:pos="1440"/>
          <w:tab w:pos="2160"/>
          <w:tab w:pos="2880"/>
          <w:tab w:pos="3600"/>
        </w:tabs>
        <w:ind w:start="1440" w:hanging=""/>
      </w:pPr>
      <w:defaultTabStop w:val="720"/>
      <w:r>
        <w:rPr>
          <w:lang w:bidi="he-IL"/>
          <w:rFonts w:hint="cs" w:cs="FrankRuehl"/>
          <w:szCs w:val="26"/>
          <w:rtl/>
        </w:rPr>
        <w:t xml:space="preserve">"תאגיד בנקאי" – תאגיד בנקאי שהמציא ערבות בנקאית כאמור בסעיף 2(1), בין שהוא תאגיד מלווה ובין שאינו תאגיד מלווה;</w:t>
      </w:r>
    </w:p>
    <w:p>
      <w:pPr>
        <w:bidi/>
        <w:spacing w:before="45" w:after="50" w:line="250" w:lineRule="auto"/>
        <w:ind/>
        <w:jc w:val="both"/>
        <w:tabs>
          <w:tab w:pos="720"/>
          <w:tab w:pos="1440"/>
          <w:tab w:pos="2160"/>
          <w:tab w:pos="2880"/>
          <w:tab w:pos="3600"/>
        </w:tabs>
        <w:ind w:start="1440" w:hanging=""/>
      </w:pPr>
      <w:defaultTabStop w:val="720"/>
      <w:r>
        <w:rPr>
          <w:lang w:bidi="he-IL"/>
          <w:rFonts w:hint="cs" w:cs="FrankRuehl"/>
          <w:szCs w:val="26"/>
          <w:rtl/>
        </w:rPr>
        <w:t xml:space="preserve">"מבטח" – מבטח שהמציא פוליסת ביטוח כאמור בסעיף 2(2), בין שהוא תאגיד מלווה ובין שאינו תאגיד מלווה.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מוכר יפנה בכתב לתאגיד בנקאי או למבטח, לפי העניין, בדרישה שימציא הודעה בכתב, בנוסח שבתוספת, ולפיה שעבוד או התחייבות לשעבוד, שניתנו לטובת התאגיד הבנקאי או המבטח לא ימומשו מתוך הדירה ורישומם יימחק, בהתאם לתנאים האמורים בהודעה (בסעיף זה – ההודעה); פנייה כאמור תיעשה בתוך 30 ימים מאחד מאלה: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ממועד התשלום הראשון ששילם קונה באמצעות פנקס שוברים אם הערבות הבנקאית או פוליסת הביטוח ניתנו על ידי תאגיד בנקאי או מבטח, שהוא תאגיד מלווה;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ממועד הוצאת ערבות בנקאית ראשונה אם ניתנה על ידי תאגיד בנקאי שאינו תאגיד מלווה;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ממועד הוצאת פוליסת הביטוח על ידי מבטח שאינו תאגיד מלווה.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פנה המוכר לתאגיד הבנקאי או למבטח כאמור בסעיף קטן (ב), ימסור לו התאגיד הבנקאי או המבטח את ההודעה בתוך 30 ימים ממועד פניית המוכר אליו; עם פנייתו לתאגיד הבנקאי או למבטח, יודיע על כך המוכר לקונה, ועם קבלת ההודעה מהתאגיד הבנקאי או המבטח יעבירה לקונה.</w:t>
      </w:r>
    </w:p>
    <w:p>
      <w:pPr>
        <w:bidi/>
        <w:spacing w:before="45" w:after="50" w:line="250" w:lineRule="auto"/>
        <w:ind/>
        <w:jc w:val="both"/>
        <w:tabs>
          <w:tab w:pos="720"/>
          <w:tab w:pos="1440"/>
          <w:tab w:pos="2160"/>
          <w:tab w:pos="2880"/>
          <w:tab w:pos="3600"/>
        </w:tabs>
        <w:ind w:start="720" w:hanging="720"/>
      </w:pPr>
      <w:defaultTabStop w:val="720"/>
      <w:bookmarkStart w:name="h7" w:id="7"/>
      <w:bookmarkEnd w:id="7"/>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סייג לתשלומים</w:t>
                </w:r>
              </w:p>
            </w:txbxContent>
          </v:textbox>
        </v:rect>
      </w:pict>
      <w:r>
        <w:rPr>
          <w:lang w:bidi="he-IL"/>
          <w:rFonts w:hint="cs" w:cs="FrankRuehl"/>
          <w:szCs w:val="34"/>
          <w:rtl/>
        </w:rPr>
        <w:t xml:space="preserve">3.</w:t>
      </w:r>
      <w:r>
        <w:rPr>
          <w:lang w:bidi="he-IL"/>
          <w:rFonts w:hint="cs" w:cs="FrankRuehl"/>
          <w:szCs w:val="26"/>
          <w:rtl/>
        </w:rPr>
        <w:tab/>
        <w:t xml:space="preserve">על אף האמור בחוזה המכר, לא יקבל מוכר מקונה תשלומי כספים על חשבון מחיר הדירה, בשיעורים העולים על השיעורים שקבע השר בתקנות, אלא אם כן כספים אלה הובטחו כאמור בסעיף 2(1) או (2).</w:t>
      </w:r>
    </w:p>
    <w:p>
      <w:pPr>
        <w:bidi/>
        <w:spacing w:before="45" w:after="50" w:line="250" w:lineRule="auto"/>
        <w:ind/>
        <w:jc w:val="both"/>
        <w:tabs>
          <w:tab w:pos="720"/>
          <w:tab w:pos="1440"/>
          <w:tab w:pos="2160"/>
          <w:tab w:pos="2880"/>
          <w:tab w:pos="3600"/>
        </w:tabs>
        <w:ind w:start="1440" w:hanging="1440"/>
      </w:pPr>
      <w:defaultTabStop w:val="720"/>
      <w:bookmarkStart w:name="h8" w:id="8"/>
      <w:bookmarkEnd w:id="8"/>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תשלום הוצאות על ידי המוכר</w:t>
                </w:r>
              </w:p>
            </w:txbxContent>
          </v:textbox>
        </v:rect>
      </w:pict>
      <w:r>
        <w:rPr>
          <w:lang w:bidi="he-IL"/>
          <w:rFonts w:hint="cs" w:cs="FrankRuehl"/>
          <w:szCs w:val="34"/>
          <w:rtl/>
        </w:rPr>
        <w:t xml:space="preserve">3א.</w:t>
        <w:tab/>
      </w:r>
      <w:r>
        <w:rPr>
          <w:lang w:bidi="he-IL"/>
          <w:rFonts w:hint="cs" w:cs="FrankRuehl"/>
          <w:szCs w:val="26"/>
          <w:rtl/>
        </w:rPr>
        <w:t xml:space="preserve">(א)</w:t>
      </w:r>
      <w:r>
        <w:rPr>
          <w:lang w:bidi="he-IL"/>
          <w:rFonts w:hint="cs" w:cs="FrankRuehl"/>
          <w:szCs w:val="26"/>
          <w:rtl/>
        </w:rPr>
        <w:tab/>
        <w:t xml:space="preserve">כל תשלומי העמלות וההוצאות הכרוכות בהבטחת כספי הקונה, לפי חוק זה (להלן – ההוצאות), יחולו על המוכר.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הוראות סעיף קטן (א) לא יחולו, אם על פי חוזה המכר על המוכר לשלם את ההוצאות בשביל הקונה, והמבטח או נותן הערבות הבנקאית, לפי הענין, הוציא קבלה על שם הקונה.</w:t>
      </w:r>
    </w:p>
    <w:p>
      <w:pPr>
        <w:bidi/>
        <w:spacing w:before="45" w:after="50" w:line="250" w:lineRule="auto"/>
        <w:ind/>
        <w:jc w:val="both"/>
        <w:tabs>
          <w:tab w:pos="720"/>
          <w:tab w:pos="1440"/>
          <w:tab w:pos="2160"/>
          <w:tab w:pos="2880"/>
          <w:tab w:pos="3600"/>
        </w:tabs>
        <w:ind w:start="720" w:hanging="720"/>
      </w:pPr>
      <w:defaultTabStop w:val="720"/>
      <w:bookmarkStart w:name="h9" w:id="9"/>
      <w:bookmarkEnd w:id="9"/>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הפרשי הצמדה</w:t>
                </w:r>
              </w:p>
            </w:txbxContent>
          </v:textbox>
        </v:rect>
      </w:pict>
      <w:r>
        <w:rPr>
          <w:lang w:bidi="he-IL"/>
          <w:rFonts w:hint="cs" w:cs="FrankRuehl"/>
          <w:szCs w:val="34"/>
          <w:rtl/>
        </w:rPr>
        <w:t xml:space="preserve">3א1.</w:t>
      </w:r>
      <w:r>
        <w:rPr>
          <w:lang w:bidi="he-IL"/>
          <w:rFonts w:hint="cs" w:cs="FrankRuehl"/>
          <w:szCs w:val="26"/>
          <w:rtl/>
        </w:rPr>
        <w:tab/>
        <w:t xml:space="preserve">כספים שהובטחו כאמור בסעיף 2(1) או (2), יוצמדו בהתאם לשיטת ההצמדה שעליה הוסכם בחוזה המכר לגבי מחיר הדירה; לא נקבעה בחוזה המכר שיטת הצמדה כאמור, יוצמדו הכספים שהובטחו למדד תשומות הבניה שמפרסמת הלשכה המרכזית לסטטיסטיקה, מן המדד שפורסם לאחרונה לפני תשלומם בידי הקונה עד המדד שפורסם לאחרונה לפני החזרתם לקונה במקרה מהמקרים המפורטים בסעיף 2(1).</w:t>
      </w:r>
    </w:p>
    <w:p>
      <w:pPr>
        <w:bidi/>
        <w:spacing w:before="45" w:after="50" w:line="250" w:lineRule="auto"/>
        <w:ind/>
        <w:jc w:val="both"/>
        <w:tabs>
          <w:tab w:pos="720"/>
          <w:tab w:pos="1440"/>
          <w:tab w:pos="2160"/>
          <w:tab w:pos="2880"/>
          <w:tab w:pos="3600"/>
        </w:tabs>
        <w:ind w:start="1440" w:hanging="1440"/>
      </w:pPr>
      <w:defaultTabStop w:val="720"/>
      <w:bookmarkStart w:name="h10" w:id="10"/>
      <w:bookmarkEnd w:id="10"/>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ליווי פיננסי לפרויקט בנייה</w:t>
                </w:r>
              </w:p>
            </w:txbxContent>
          </v:textbox>
        </v:rect>
      </w:pict>
      <w:r>
        <w:rPr>
          <w:lang w:bidi="he-IL"/>
          <w:rFonts w:hint="cs" w:cs="FrankRuehl"/>
          <w:szCs w:val="34"/>
          <w:rtl/>
        </w:rPr>
        <w:t xml:space="preserve">3ב.</w:t>
        <w:tab/>
      </w:r>
      <w:r>
        <w:rPr>
          <w:lang w:bidi="he-IL"/>
          <w:rFonts w:hint="cs" w:cs="FrankRuehl"/>
          <w:szCs w:val="26"/>
          <w:rtl/>
        </w:rPr>
        <w:t xml:space="preserve">(א)</w:t>
      </w:r>
      <w:r>
        <w:rPr>
          <w:lang w:bidi="he-IL"/>
          <w:rFonts w:hint="cs" w:cs="FrankRuehl"/>
          <w:szCs w:val="26"/>
          <w:rtl/>
        </w:rPr>
        <w:tab/>
        <w:t xml:space="preserve">תאגיד מלווה ומוכר שהתקשרו בהסכם למתן ליווי פיננסי יפעלו בדרך זו בלבד לעניין פרויקט הבנייה נושא ההסכם.</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הסכם הליווי של פרויקט בנייה בין התאגיד המלווה לבין המוכר יכלול את חובתם לפעול לפי הסדר השוברים בלבד בהתאם להוראות סעיף זה, וכן פרטים נוספים כפי שיקבע המפקח על הבנקים בהוראות ניהול בנקאי תקין – לגבי תאגיד מלווה שהוא תאגיד בנקאי, או כפי שיקבע הממונה על שוק ההון בהוראות לפי סעיף 2(ב) לחוק הפיקוח על הביטוח – לגבי תאגיד מלווה שהוא מבטח.</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התאגיד המלווה יפיק פנקס שוברים לתשלום בעבור כל דירה בפרויקט הבנייה, ימסור אותו למוכר ויפקיד תשלומים בעבור הדירה, לרבות תשלומים שהעביר תאגיד שנתן לקונה הלוואה לרכישת דירה, לחשבון הליווי באמצעות פנקס השוברים בלבד; השוברים יכללו פרטים כפי שיקבע המפקח על הבנקים או הממונה על שוק ההון בהוראות כאמור בסעיף קטן (ב).</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המוכר ימסור את פנקס השוברים לקונה ויקבל באמצעותו בלבד את התשלומים שישלם הקונה בעבור הדירה; תשלום באמצעות שובר מהווה הוראה בלתי חוזרת של המוכר לתאגיד המלווה להמציא ערבות בנקאית כאמור בסעיף 2(1) או פוליסת ביטוח כאמור בסעיף 2(2), לטובת הקונה.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(ה)</w:t>
      </w:r>
      <w:r>
        <w:rPr>
          <w:lang w:bidi="he-IL"/>
          <w:rFonts w:hint="cs" w:cs="FrankRuehl"/>
          <w:szCs w:val="26"/>
          <w:rtl/>
        </w:rPr>
        <w:tab/>
        <w:t xml:space="preserve">תאגיד מלווה ימציא ערבות בנקאית או פוליסת ביטוח בשל הסכום ששילם הקונה לפי הסדר השוברים, למעט רכיב המע"מ כהגדרתו בסעיף 3ג1 הנכלל בכספים אלה, בתוך 14 ימי עסקים מיום ששולם כאמור או יוודא כי ניתנה בטוחה אחרת לטובת הקונה בהתאם להוראות סעיף 2; אין בהוראה זו כדי לגרוע מאחריותו של תאגיד בנקאי או מבטח לפי כל דין.</w:t>
      </w:r>
    </w:p>
    <w:p>
      <w:pPr>
        <w:bidi/>
        <w:spacing w:before="45" w:after="50" w:line="250" w:lineRule="auto"/>
        <w:ind/>
        <w:jc w:val="both"/>
        <w:tabs>
          <w:tab w:pos="720"/>
          <w:tab w:pos="1440"/>
          <w:tab w:pos="2160"/>
          <w:tab w:pos="2880"/>
          <w:tab w:pos="3600"/>
        </w:tabs>
        <w:ind w:start="720" w:hanging="720"/>
      </w:pPr>
      <w:defaultTabStop w:val="720"/>
      <w:bookmarkStart w:name="h11" w:id="11"/>
      <w:bookmarkEnd w:id="11"/>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חובת תאגיד שנתן הלוואה לרכישת דירה</w:t>
                </w:r>
              </w:p>
            </w:txbxContent>
          </v:textbox>
        </v:rect>
      </w:pict>
      <w:r>
        <w:rPr>
          <w:lang w:bidi="he-IL"/>
          <w:rFonts w:hint="cs" w:cs="FrankRuehl"/>
          <w:szCs w:val="34"/>
          <w:rtl/>
        </w:rPr>
        <w:t xml:space="preserve">3ג.</w:t>
      </w:r>
      <w:r>
        <w:rPr>
          <w:lang w:bidi="he-IL"/>
          <w:rFonts w:hint="cs" w:cs="FrankRuehl"/>
          <w:szCs w:val="26"/>
          <w:rtl/>
        </w:rPr>
        <w:tab/>
        <w:t xml:space="preserve">נתן תאגיד בנקאי, מבטח או תאגיד אחר הלוואה לקונה לרכישת דירה, חייב הוא –</w:t>
      </w:r>
    </w:p>
    <w:p>
      <w:pPr>
        <w:bidi/>
        <w:spacing w:before="45" w:after="50" w:line="250" w:lineRule="auto"/>
        <w:ind/>
        <w:jc w:val="both"/>
        <w:tabs>
          <w:tab w:pos="720"/>
          <w:tab w:pos="1440"/>
          <w:tab w:pos="2160"/>
          <w:tab w:pos="2880"/>
          <w:tab w:pos="3600"/>
        </w:tabs>
      </w:pPr>
      <w:defaultTabStop w:val="720"/>
      <w:r>
        <w:rPr>
          <w:lang w:bidi="he-IL"/>
          <w:rFonts w:hint="cs" w:cs="FrankRuehl"/>
          <w:szCs w:val="26"/>
          <w:rtl/>
        </w:rPr>
        <w:br/>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(1)</w:t>
      </w:r>
      <w:r>
        <w:rPr>
          <w:lang w:bidi="he-IL"/>
          <w:rFonts w:hint="cs" w:cs="FrankRuehl"/>
          <w:szCs w:val="26"/>
          <w:rtl/>
        </w:rPr>
        <w:tab/>
        <w:t xml:space="preserve">להודיע לקונה בכתב על הוראות חוק זה ועל זכויותיו להבטחת הכספים ששולמו למוכר בעבור הדירה;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(2)</w:t>
      </w:r>
      <w:r>
        <w:rPr>
          <w:lang w:bidi="he-IL"/>
          <w:rFonts w:hint="cs" w:cs="FrankRuehl"/>
          <w:szCs w:val="26"/>
          <w:rtl/>
        </w:rPr>
        <w:tab/>
        <w:t xml:space="preserve">להעביר את כספי ההלוואה למוכר רק לאחר שווידא כי ניתנה בטוחה לטובת הקונה בהתאם להוראות סעיף 2 או התחייבות בכתב של המוכר למתן בטוחה כאמור.</w:t>
      </w:r>
    </w:p>
    <w:p>
      <w:pPr>
        <w:bidi/>
        <w:spacing w:before="45" w:after="50" w:line="250" w:lineRule="auto"/>
        <w:ind/>
        <w:jc w:val="both"/>
        <w:tabs>
          <w:tab w:pos="720"/>
          <w:tab w:pos="1440"/>
          <w:tab w:pos="2160"/>
          <w:tab w:pos="2880"/>
          <w:tab w:pos="3600"/>
        </w:tabs>
        <w:ind w:start="720" w:hanging="720"/>
      </w:pPr>
      <w:defaultTabStop w:val="720"/>
      <w:bookmarkStart w:name="h12" w:id="12"/>
      <w:bookmarkEnd w:id="12"/>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שעבוד ראשון של זכות המוכר לקבלת החזר רכיב המע"מ</w:t>
                </w:r>
              </w:p>
            </w:txbxContent>
          </v:textbox>
        </v:rect>
      </w:pict>
      <w:r>
        <w:rPr>
          <w:lang w:bidi="he-IL"/>
          <w:rFonts w:hint="cs" w:cs="FrankRuehl"/>
          <w:szCs w:val="34"/>
          <w:rtl/>
        </w:rPr>
        <w:t xml:space="preserve">3ג1.</w:t>
      </w:r>
      <w:r>
        <w:rPr>
          <w:lang w:bidi="he-IL"/>
          <w:rFonts w:hint="cs" w:cs="FrankRuehl"/>
          <w:szCs w:val="26"/>
          <w:rtl/>
        </w:rPr>
        <w:tab/>
        <w:t xml:space="preserve">נתן מוכר בטוחה כאמור בסעיף 2(1) או (2), תהיה זכותו לקבלת החזר רכיב המע"מ ששולם, במקרה של מימוש הבטוחה, משועבדת בשעבוד ראשון לטובת המדינה; לעניין זה, "רכיב המע"מ" – מס הערך המוסף הנכלל במחיר הדירה, בשיעור החל לפי חוק מס ערך מוסף, התשל"ו-1975, במועד כל תשלום מאת הקונה למוכר.</w:t>
      </w:r>
    </w:p>
    <w:p>
      <w:pPr>
        <w:bidi/>
        <w:spacing w:before="45" w:after="50" w:line="250" w:lineRule="auto"/>
        <w:ind/>
        <w:jc w:val="both"/>
        <w:tabs>
          <w:tab w:pos="720"/>
          <w:tab w:pos="1440"/>
          <w:tab w:pos="2160"/>
          <w:tab w:pos="2880"/>
          <w:tab w:pos="3600"/>
        </w:tabs>
        <w:ind w:start="1440" w:hanging="1440"/>
      </w:pPr>
      <w:defaultTabStop w:val="720"/>
      <w:bookmarkStart w:name="h13" w:id="13"/>
      <w:bookmarkEnd w:id="13"/>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השבת רכיב המע"מ בעת מימוש בטוחה</w:t>
                </w:r>
              </w:p>
            </w:txbxContent>
          </v:textbox>
        </v:rect>
      </w:pict>
      <w:r>
        <w:rPr>
          <w:lang w:bidi="he-IL"/>
          <w:rFonts w:hint="cs" w:cs="FrankRuehl"/>
          <w:szCs w:val="34"/>
          <w:rtl/>
        </w:rPr>
        <w:t xml:space="preserve">3ג2.</w:t>
        <w:tab/>
      </w:r>
      <w:r>
        <w:rPr>
          <w:lang w:bidi="he-IL"/>
          <w:rFonts w:hint="cs" w:cs="FrankRuehl"/>
          <w:szCs w:val="26"/>
          <w:rtl/>
        </w:rPr>
        <w:t xml:space="preserve">(א)</w:t>
      </w:r>
      <w:r>
        <w:rPr>
          <w:lang w:bidi="he-IL"/>
          <w:rFonts w:hint="cs" w:cs="FrankRuehl"/>
          <w:szCs w:val="26"/>
          <w:rtl/>
        </w:rPr>
        <w:tab/>
        <w:t xml:space="preserve">בסעיף זה –</w:t>
      </w:r>
    </w:p>
    <w:p>
      <w:pPr>
        <w:bidi/>
        <w:spacing w:before="45" w:after="50" w:line="250" w:lineRule="auto"/>
        <w:ind/>
        <w:jc w:val="both"/>
        <w:tabs>
          <w:tab w:pos="720"/>
          <w:tab w:pos="1440"/>
          <w:tab w:pos="2160"/>
          <w:tab w:pos="2880"/>
          <w:tab w:pos="3600"/>
        </w:tabs>
      </w:pPr>
      <w:defaultTabStop w:val="720"/>
      <w:r>
        <w:rPr>
          <w:lang w:bidi="he-IL"/>
          <w:rFonts w:hint="cs" w:cs="FrankRuehl"/>
          <w:szCs w:val="26"/>
          <w:rtl/>
        </w:rPr>
        <w:br/>
      </w:r>
    </w:p>
    <w:p>
      <w:pPr>
        <w:bidi/>
        <w:spacing w:before="45" w:after="50" w:line="250" w:lineRule="auto"/>
        <w:ind/>
        <w:jc w:val="both"/>
        <w:tabs>
          <w:tab w:pos="720"/>
          <w:tab w:pos="1440"/>
          <w:tab w:pos="2160"/>
          <w:tab w:pos="2880"/>
          <w:tab w:pos="3600"/>
        </w:tabs>
        <w:ind w:start="1440" w:hanging=""/>
      </w:pPr>
      <w:defaultTabStop w:val="720"/>
      <w:r>
        <w:rPr>
          <w:lang w:bidi="he-IL"/>
          <w:rFonts w:hint="cs" w:cs="FrankRuehl"/>
          <w:szCs w:val="26"/>
          <w:rtl/>
        </w:rPr>
        <w:t xml:space="preserve">"בטוחה" – ערבות בנקאית או פוליסת ביטוח כאמור בסעיף 2(1) או (2);</w:t>
      </w:r>
    </w:p>
    <w:p>
      <w:pPr>
        <w:bidi/>
        <w:spacing w:before="45" w:after="50" w:line="250" w:lineRule="auto"/>
        <w:ind/>
        <w:jc w:val="both"/>
        <w:tabs>
          <w:tab w:pos="720"/>
          <w:tab w:pos="1440"/>
          <w:tab w:pos="2160"/>
          <w:tab w:pos="2880"/>
          <w:tab w:pos="3600"/>
        </w:tabs>
        <w:ind w:start="1440" w:hanging=""/>
      </w:pPr>
      <w:defaultTabStop w:val="720"/>
      <w:r>
        <w:rPr>
          <w:lang w:bidi="he-IL"/>
          <w:rFonts w:hint="cs" w:cs="FrankRuehl"/>
          <w:szCs w:val="26"/>
          <w:rtl/>
        </w:rPr>
        <w:t xml:space="preserve">"רכיב המע"מ" – כהגדרתו בסעיף 3ג1;</w:t>
      </w:r>
    </w:p>
    <w:p>
      <w:pPr>
        <w:bidi/>
        <w:spacing w:before="45" w:after="50" w:line="250" w:lineRule="auto"/>
        <w:ind/>
        <w:jc w:val="both"/>
        <w:tabs>
          <w:tab w:pos="720"/>
          <w:tab w:pos="1440"/>
          <w:tab w:pos="2160"/>
          <w:tab w:pos="2880"/>
          <w:tab w:pos="3600"/>
        </w:tabs>
        <w:ind w:start="1440" w:hanging=""/>
      </w:pPr>
      <w:defaultTabStop w:val="720"/>
      <w:r>
        <w:rPr>
          <w:lang w:bidi="he-IL"/>
          <w:rFonts w:hint="cs" w:cs="FrankRuehl"/>
          <w:szCs w:val="26"/>
          <w:rtl/>
        </w:rPr>
        <w:t xml:space="preserve">"הקרן" – הקרן שהוקמה לפי סעיף קטן (ג).</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מומשה בטוחה בנסיבות האמורות בסעיף 2(1) או (2), תשיב הקרן לקונה, באמצעות התאגיד הבנקאי או המבטח שהמציא את הבטוחה, סכום בגובה רכיב המע"מ לגבי כל תשלום מאת הקונה למוכר אשר בשלו ניתנה הבטוחה, בתוספת הפרשי הצמדה כאמור בסעיף 3א1 על הכספים שהובטחו כאמור בסעיף 2(1) או (2), בהתאם להוראות אלה: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התאגיד הבנקאי או המבטח יפנה, לא יאוחר משבעה ימים ממועד המימוש, בבקשה לקבל מהקרן סכום בגובה רכיב המע"מ;</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בתוך 14 ימים ממועד פניית התאגיד הבנקאי או המבטח כאמור בפסקה (1), יועבר הסכום בגובה רכיב המע"מ מהקרן לתאגיד הבנקאי או למבטח;</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עם קבלת הסכום בגובה רכיב המע"מ מהקרן יעבירו התאגיד הבנקאי או המבטח לידי הקונה.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החשב הכללי של משרד האוצר יקים, במשרד האוצר, קרן שמטרתה השבת סכומים בגובה רכיב המע"מ לקונים, בעת מימוש בטוחות, בהתאם להוראות סעיף זה; הודעה בדבר הקמת הקרן תפורסם ברשומות.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החשב הכללי, בהסכמת המפקח על הבנקים והממונה על שוק ההון, יתקין את תקנון הקרן; בתקנון כאמור ייקבעו, בין השאר, הוראות בדבר פעולות הקרן, נוהלי הגשת בקשות לקרן והטיפול בהן וסדרי עבודתה של הקרן; תקנון הקרן יפורסם באתר האינטרנט של משרד האוצר.</w:t>
      </w:r>
    </w:p>
    <w:p>
      <w:pPr>
        <w:bidi/>
        <w:spacing w:before="45" w:after="50" w:line="250" w:lineRule="auto"/>
        <w:ind/>
        <w:jc w:val="both"/>
        <w:tabs>
          <w:tab w:pos="720"/>
          <w:tab w:pos="1440"/>
          <w:tab w:pos="2160"/>
          <w:tab w:pos="2880"/>
          <w:tab w:pos="3600"/>
        </w:tabs>
        <w:ind w:start="1440" w:hanging="1440"/>
      </w:pPr>
      <w:defaultTabStop w:val="720"/>
      <w:bookmarkStart w:name="h14" w:id="14"/>
      <w:bookmarkEnd w:id="14"/>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מינוי הממונה, ניהול רישום ובירור פניות ציבור</w:t>
                </w:r>
              </w:p>
            </w:txbxContent>
          </v:textbox>
        </v:rect>
      </w:pict>
      <w:r>
        <w:rPr>
          <w:lang w:bidi="he-IL"/>
          <w:rFonts w:hint="cs" w:cs="FrankRuehl"/>
          <w:szCs w:val="34"/>
          <w:rtl/>
        </w:rPr>
        <w:t xml:space="preserve">3ד.</w:t>
        <w:tab/>
      </w:r>
      <w:r>
        <w:rPr>
          <w:lang w:bidi="he-IL"/>
          <w:rFonts w:hint="cs" w:cs="FrankRuehl"/>
          <w:szCs w:val="26"/>
          <w:rtl/>
        </w:rPr>
        <w:t xml:space="preserve">(א)</w:t>
      </w:r>
      <w:r>
        <w:rPr>
          <w:lang w:bidi="he-IL"/>
          <w:rFonts w:hint="cs" w:cs="FrankRuehl"/>
          <w:szCs w:val="26"/>
          <w:rtl/>
        </w:rPr>
        <w:tab/>
        <w:t xml:space="preserve">השר ימנה ממונה מבין עובדי משרדו, לעניין דירות שהוראות חוק זה חלות על מכירתן.</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הממונה ינהל רישום שיפורטו בו שם קונה הדירה, שם המוכר, פרטי המקרקעין, נותן הבטוחה וסוג הבטוחה שניתנה לטובת הקונה בהתאם להוראות סעיף 2.</w:t>
      </w:r>
    </w:p>
    <w:p>
      <w:pPr>
        <w:bidi/>
        <w:spacing w:before="45" w:after="50" w:line="250" w:lineRule="auto"/>
        <w:ind/>
        <w:jc w:val="both"/>
        <w:tabs>
          <w:tab w:pos="720"/>
          <w:tab w:pos="1440"/>
          <w:tab w:pos="2160"/>
          <w:tab w:pos="2880"/>
          <w:tab w:pos="3600"/>
        </w:tabs>
        <w:ind w:start="2160" w:hanging="1440"/>
      </w:pPr>
      <w:defaultTabStop w:val="720"/>
      <w:r>
        <w:rPr>
          <w:lang w:bidi="he-IL"/>
          <w:rFonts w:hint="cs" w:cs="FrankRuehl"/>
          <w:szCs w:val="26"/>
          <w:rtl/>
        </w:rPr>
        <w:t xml:space="preserve">(ג)</w:t>
        <w:tab/>
      </w:r>
      <w:r>
        <w:rPr>
          <w:lang w:bidi="he-IL"/>
          <w:rFonts w:hint="cs" w:cs="FrankRuehl"/>
          <w:szCs w:val="26"/>
          <w:rtl/>
        </w:rPr>
        <w:t xml:space="preserve">(1)</w:t>
      </w:r>
      <w:r>
        <w:rPr>
          <w:lang w:bidi="he-IL"/>
          <w:rFonts w:hint="cs" w:cs="FrankRuehl"/>
          <w:szCs w:val="26"/>
          <w:rtl/>
        </w:rPr>
        <w:tab/>
        <w:t xml:space="preserve">בכפוף להוראות סעיף קטן (ד), הממונה יברר פניות ציבור לעניין חוק זה, לרבות לעניין הפרת הוראות החוק על ידי מוכר;</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מצא הממונה שפניית ציבור היתה מוצדקת, יודיע על כך לפונה ולמוכר; הממונה יפרט בהודעתו את ממצאי הבירור ואת הדרכים לתיקון הליקויים שמצא (להלן – ממצאי הבירור);</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מצא הממונה שפניית ציבור לא היתה מוצדקת או שאין היא ראויה לבירור, יודיע על כך לפונה;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(4)</w:t>
      </w:r>
      <w:r>
        <w:rPr>
          <w:lang w:bidi="he-IL"/>
          <w:rFonts w:hint="cs" w:cs="FrankRuehl"/>
          <w:szCs w:val="26"/>
          <w:rtl/>
        </w:rPr>
        <w:tab/>
        <w:t xml:space="preserve">החלטותיו של הממונה בבירור פניית ציבור וממצאי הבירור –</w:t>
      </w:r>
    </w:p>
    <w:p>
      <w:pPr>
        <w:bidi/>
        <w:spacing w:before="45" w:after="50" w:line="250" w:lineRule="auto"/>
        <w:ind/>
        <w:jc w:val="both"/>
        <w:tabs>
          <w:tab w:pos="720"/>
          <w:tab w:pos="1440"/>
          <w:tab w:pos="2160"/>
          <w:tab w:pos="2880"/>
          <w:tab w:pos="3600"/>
        </w:tabs>
        <w:ind w:start="2880" w:hanging="720"/>
      </w:pPr>
      <w:defaultTabStop w:val="720"/>
      <w:r>
        <w:rPr>
          <w:lang w:bidi="he-IL"/>
          <w:rFonts w:hint="cs" w:cs="FrankRuehl"/>
          <w:szCs w:val="26"/>
          <w:rtl/>
        </w:rPr>
        <w:t xml:space="preserve">(א)</w:t>
      </w:r>
      <w:r>
        <w:rPr>
          <w:lang w:bidi="he-IL"/>
          <w:rFonts w:hint="cs" w:cs="FrankRuehl"/>
          <w:szCs w:val="26"/>
          <w:rtl/>
        </w:rPr>
        <w:tab/>
        <w:t xml:space="preserve">לא יהיה בהם כדי להעניק לפונה או לאדם אחר זכות או סעד בבית משפט או בבית דין שלא היו לו לפני כן;</w:t>
      </w:r>
    </w:p>
    <w:p>
      <w:pPr>
        <w:bidi/>
        <w:spacing w:before="45" w:after="50" w:line="250" w:lineRule="auto"/>
        <w:ind/>
        <w:jc w:val="both"/>
        <w:tabs>
          <w:tab w:pos="720"/>
          <w:tab w:pos="1440"/>
          <w:tab w:pos="2160"/>
          <w:tab w:pos="2880"/>
          <w:tab w:pos="3600"/>
        </w:tabs>
        <w:ind w:start="2880" w:hanging="720"/>
      </w:pPr>
      <w:defaultTabStop w:val="720"/>
      <w:r>
        <w:rPr>
          <w:lang w:bidi="he-IL"/>
          <w:rFonts w:hint="cs" w:cs="FrankRuehl"/>
          <w:szCs w:val="26"/>
          <w:rtl/>
        </w:rPr>
        <w:t xml:space="preserve">(ב)</w:t>
      </w:r>
      <w:r>
        <w:rPr>
          <w:lang w:bidi="he-IL"/>
          <w:rFonts w:hint="cs" w:cs="FrankRuehl"/>
          <w:szCs w:val="26"/>
          <w:rtl/>
        </w:rPr>
        <w:tab/>
        <w:t xml:space="preserve">לא יהיה בהם כדי למנוע מהפונה או מאדם אחר להשתמש בזכות אחרת או לבקש סעד אחר שהוא זכאי להם, ואולם אם נקבע לכך מועד בחיקוק, לא יוארך המועד על ידי הגשת הפנייה לממונה או בירורה.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קיבל הממונה פניית ציבור בעניין הנוגע לתאגיד בנקאי יעבירה לבירור המפקח על הבנקים; המפקח יברר את הפנייה לפי הוראות סעיף 16 לחוק הבנקאות (שירות ללקוח), התשמ"א-1981, ואם מצא כי היתה מוצדקת, יודיע על כך לפונה, לתאגיד הבנקאי וכן לממונה; על אף הוראות הסעיף האמור, המפקח יפרט בהודעתו כאמור את ממצאי הבירור ואת הדרכים לתיקון הליקויים שמצא.</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(ה)</w:t>
      </w:r>
      <w:r>
        <w:rPr>
          <w:lang w:bidi="he-IL"/>
          <w:rFonts w:hint="cs" w:cs="FrankRuehl"/>
          <w:szCs w:val="26"/>
          <w:rtl/>
        </w:rPr>
        <w:tab/>
        <w:t xml:space="preserve">קיבל הממונה פניית ציבור בעניין הנוגע למבטח יעבירה לבירור הממונה על שוק ההון; הממונה על שוק ההון יברר את הפנייה לפי הוראות סעיפים 60 עד 62 לחוק הפיקוח על הביטוח, ואם מצא כי היתה מוצדקת, יודיע על כך לפונה, למבטח וכן לממונה; הממונה על שוק ההון יפרט בהודעתו כאמור את ממצאי הבירור ואת הדרכים לתיקון הליקויים שמצא.</w:t>
      </w:r>
    </w:p>
    <w:p>
      <w:pPr>
        <w:bidi/>
        <w:spacing w:before="45" w:after="50" w:line="250" w:lineRule="auto"/>
        <w:ind/>
        <w:jc w:val="both"/>
        <w:tabs>
          <w:tab w:pos="720"/>
          <w:tab w:pos="1440"/>
          <w:tab w:pos="2160"/>
          <w:tab w:pos="2880"/>
          <w:tab w:pos="3600"/>
        </w:tabs>
        <w:ind w:start="1440" w:hanging="1440"/>
      </w:pPr>
      <w:defaultTabStop w:val="720"/>
      <w:bookmarkStart w:name="h15" w:id="15"/>
      <w:bookmarkEnd w:id="15"/>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חובת דיווח של מוכר לממונה</w:t>
                </w:r>
              </w:p>
            </w:txbxContent>
          </v:textbox>
        </v:rect>
      </w:pict>
      <w:r>
        <w:rPr>
          <w:lang w:bidi="he-IL"/>
          <w:rFonts w:hint="cs" w:cs="FrankRuehl"/>
          <w:szCs w:val="34"/>
          <w:rtl/>
        </w:rPr>
        <w:t xml:space="preserve">3ה.</w:t>
        <w:tab/>
      </w:r>
      <w:r>
        <w:rPr>
          <w:lang w:bidi="he-IL"/>
          <w:rFonts w:hint="cs" w:cs="FrankRuehl"/>
          <w:szCs w:val="26"/>
          <w:rtl/>
        </w:rPr>
        <w:t xml:space="preserve">(א)</w:t>
      </w:r>
      <w:r>
        <w:rPr>
          <w:lang w:bidi="he-IL"/>
          <w:rFonts w:hint="cs" w:cs="FrankRuehl"/>
          <w:szCs w:val="26"/>
          <w:rtl/>
        </w:rPr>
        <w:tab/>
        <w:t xml:space="preserve">מוכר ימסור לממונה את הפרטים האלה לגבי מכירה של כל דירה בפרויקט בנייה שלו: שם קונה הדירה, שם המוכר, פרטי המקרקעין, נותן הבטוחה וסוג הבטוחה שניתנה לטובת הקונה בהתאם להוראות סעיף 2.</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השר יקבע בתקנות את המועד למסירת הפרטים כאמור בסעיף קטן (א), ורשאי הוא בתקנות כאמור לקבוע פרטים נוספים שעל המוכר למסור לממונה.</w:t>
      </w:r>
    </w:p>
    <w:p>
      <w:pPr>
        <w:bidi/>
        <w:spacing w:before="45" w:after="50" w:line="250" w:lineRule="auto"/>
        <w:ind/>
        <w:jc w:val="both"/>
        <w:tabs>
          <w:tab w:pos="720"/>
          <w:tab w:pos="1440"/>
          <w:tab w:pos="2160"/>
          <w:tab w:pos="2880"/>
          <w:tab w:pos="3600"/>
        </w:tabs>
        <w:ind w:start="720" w:hanging="720"/>
      </w:pPr>
      <w:defaultTabStop w:val="720"/>
      <w:bookmarkStart w:name="h16" w:id="16"/>
      <w:bookmarkEnd w:id="16"/>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סמכויות פיקוח</w:t>
                </w:r>
              </w:p>
            </w:txbxContent>
          </v:textbox>
        </v:rect>
      </w:pict>
      <w:r>
        <w:rPr>
          <w:lang w:bidi="he-IL"/>
          <w:rFonts w:hint="cs" w:cs="FrankRuehl"/>
          <w:szCs w:val="34"/>
          <w:rtl/>
        </w:rPr>
        <w:t xml:space="preserve">3ו.</w:t>
      </w:r>
      <w:r>
        <w:rPr>
          <w:lang w:bidi="he-IL"/>
          <w:rFonts w:hint="cs" w:cs="FrankRuehl"/>
          <w:szCs w:val="26"/>
          <w:rtl/>
        </w:rPr>
        <w:tab/>
        <w:t xml:space="preserve">לצורך מילוי תפקידיו, רשאי הממונה –</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(1)</w:t>
      </w:r>
      <w:r>
        <w:rPr>
          <w:lang w:bidi="he-IL"/>
          <w:rFonts w:hint="cs" w:cs="FrankRuehl"/>
          <w:szCs w:val="26"/>
          <w:rtl/>
        </w:rPr>
        <w:tab/>
        <w:t xml:space="preserve">לדרוש מכל אדם או גוף הנוגע בדבר למסור לו ידיעות ומסמכים המתייחסים למכירה של דירות על פי חוק זה;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(2)</w:t>
      </w:r>
      <w:r>
        <w:rPr>
          <w:lang w:bidi="he-IL"/>
          <w:rFonts w:hint="cs" w:cs="FrankRuehl"/>
          <w:szCs w:val="26"/>
          <w:rtl/>
        </w:rPr>
        <w:tab/>
        <w:t xml:space="preserve">להיכנס למקום המשמש מוכר ולבצע ביקורת על קיום הוראות לפי חוק זה, ובלבד שלא ייכנס למקום המשמש למגורים בלבד אלא על פי צו של בית משפט.</w:t>
      </w:r>
    </w:p>
    <w:p>
      <w:pPr>
        <w:bidi/>
        <w:spacing w:before="45" w:after="50" w:line="250" w:lineRule="auto"/>
        <w:ind/>
        <w:jc w:val="both"/>
        <w:tabs>
          <w:tab w:pos="720"/>
          <w:tab w:pos="1440"/>
          <w:tab w:pos="2160"/>
          <w:tab w:pos="2880"/>
          <w:tab w:pos="3600"/>
        </w:tabs>
        <w:ind w:start="1440" w:hanging="1440"/>
      </w:pPr>
      <w:defaultTabStop w:val="720"/>
      <w:bookmarkStart w:name="h17" w:id="17"/>
      <w:bookmarkEnd w:id="17"/>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סמכויות הממונה לגבי מוכר או תאגיד מפר</w:t>
                </w:r>
              </w:p>
            </w:txbxContent>
          </v:textbox>
        </v:rect>
      </w:pict>
      <w:r>
        <w:rPr>
          <w:lang w:bidi="he-IL"/>
          <w:rFonts w:hint="cs" w:cs="FrankRuehl"/>
          <w:szCs w:val="34"/>
          <w:rtl/>
        </w:rPr>
        <w:t xml:space="preserve">3ז.</w:t>
        <w:tab/>
      </w:r>
      <w:r>
        <w:rPr>
          <w:lang w:bidi="he-IL"/>
          <w:rFonts w:hint="cs" w:cs="FrankRuehl"/>
          <w:szCs w:val="26"/>
          <w:rtl/>
        </w:rPr>
        <w:t xml:space="preserve">(א)</w:t>
      </w:r>
      <w:r>
        <w:rPr>
          <w:lang w:bidi="he-IL"/>
          <w:rFonts w:hint="cs" w:cs="FrankRuehl"/>
          <w:szCs w:val="26"/>
          <w:rtl/>
        </w:rPr>
        <w:tab/>
        <w:t xml:space="preserve">מצא הממונה כי מוכר הפר את חובתו להבטיח את כספי הקונים כנדרש לפי חוק זה, יתריע על כך בכתב לפני המוכר, ויודיע על כך לקונה ולמפקח על הבנקים או לממונה על שוק ההון, לפי העניין.</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מצא הממונה כי תאגיד שאינו תאגיד בנקאי או מבטח שנתן הלוואה לרכישת דירה, הפר את חובותיו לפי סעיף 3ג, יהיו נתונות לו הסמכויות הנתונות למפקח על הבנקים ולממונה על שוק ההון לפי סעיף 3ח.</w:t>
      </w:r>
    </w:p>
    <w:p>
      <w:pPr>
        <w:bidi/>
        <w:spacing w:before="45" w:after="50" w:line="250" w:lineRule="auto"/>
        <w:ind/>
        <w:jc w:val="both"/>
        <w:tabs>
          <w:tab w:pos="720"/>
          <w:tab w:pos="1440"/>
          <w:tab w:pos="2160"/>
          <w:tab w:pos="2880"/>
          <w:tab w:pos="3600"/>
        </w:tabs>
        <w:ind w:start="720" w:hanging="720"/>
      </w:pPr>
      <w:defaultTabStop w:val="720"/>
      <w:bookmarkStart w:name="h18" w:id="18"/>
      <w:bookmarkEnd w:id="18"/>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סמכויות המפקח על הבנקים והממונה על שוק ההון לגבי תאגיד בנקאי או מבטח שהפר את חובותיו</w:t>
                </w:r>
              </w:p>
            </w:txbxContent>
          </v:textbox>
        </v:rect>
      </w:pict>
      <w:r>
        <w:rPr>
          <w:lang w:bidi="he-IL"/>
          <w:rFonts w:hint="cs" w:cs="FrankRuehl"/>
          <w:szCs w:val="34"/>
          <w:rtl/>
        </w:rPr>
        <w:t xml:space="preserve">3ח.</w:t>
      </w:r>
      <w:r>
        <w:rPr>
          <w:lang w:bidi="he-IL"/>
          <w:rFonts w:hint="cs" w:cs="FrankRuehl"/>
          <w:szCs w:val="26"/>
          <w:rtl/>
        </w:rPr>
        <w:tab/>
        <w:t xml:space="preserve">מצא המפקח על הבנקים או הממונה על שוק ההון כי תאגיד בנקאי או מבטח, לפי העניין, שהוא תאגיד מלווה, הפר את חובותיו לפי סעיף 3ב, או שתאגיד בנקאי או מבטח, לפי העניין, שנתן הלוואה לקונה לרכישת דירה, הפר את חובותיו לפי סעיף 3ג, רשאי הוא, בלי לגרוע מסמכויותיו על פי כל דין, להורות לתאגיד הבנקאי או למבטח לתקן את ההפרה, וכן רשאי הוא להורות על הדרכים לתיקונה, כפי שימצא לנכון.</w:t>
      </w:r>
    </w:p>
    <w:p>
      <w:pPr>
        <w:bidi/>
        <w:spacing w:before="45" w:after="50" w:line="250" w:lineRule="auto"/>
        <w:ind/>
        <w:jc w:val="both"/>
        <w:tabs>
          <w:tab w:pos="720"/>
          <w:tab w:pos="1440"/>
          <w:tab w:pos="2160"/>
          <w:tab w:pos="2880"/>
          <w:tab w:pos="3600"/>
        </w:tabs>
        <w:ind w:start="1440" w:hanging="1440"/>
      </w:pPr>
      <w:defaultTabStop w:val="720"/>
      <w:bookmarkStart w:name="h19" w:id="19"/>
      <w:bookmarkEnd w:id="19"/>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דיווח שנתי מטעם הממונה</w:t>
                </w:r>
              </w:p>
            </w:txbxContent>
          </v:textbox>
        </v:rect>
      </w:pict>
      <w:r>
        <w:rPr>
          <w:lang w:bidi="he-IL"/>
          <w:rFonts w:hint="cs" w:cs="FrankRuehl"/>
          <w:szCs w:val="34"/>
          <w:rtl/>
        </w:rPr>
        <w:t xml:space="preserve">3ט.</w:t>
        <w:tab/>
      </w:r>
      <w:r>
        <w:rPr>
          <w:lang w:bidi="he-IL"/>
          <w:rFonts w:hint="cs" w:cs="FrankRuehl"/>
          <w:szCs w:val="26"/>
          <w:rtl/>
        </w:rPr>
        <w:t xml:space="preserve">(א)</w:t>
      </w:r>
      <w:r>
        <w:rPr>
          <w:lang w:bidi="he-IL"/>
          <w:rFonts w:hint="cs" w:cs="FrankRuehl"/>
          <w:szCs w:val="26"/>
          <w:rtl/>
        </w:rPr>
        <w:tab/>
        <w:t xml:space="preserve">הממונה יגיש לשר ולוועדת הכספים של הכנסת, אחת לשנה, דין וחשבון על פעולותיו, על ביצוע הוראות לפי חוק זה וכן דיווח על ממצאי הבירור, לרבות על ממצאי הבירור שהמפקח על הבנקים או הממונה על שוק ההון העביר אליו; בדין וחשבון יפורטו גם שמות מוכרים שהפרו הוראות לפי חוק זה.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בלי לגרוע מהוראות כל דין, דין וחשבון כאמור בסעיף קטן (א) יהיה פתוח לעיון הציבור במשרדי הממונה או בכל דרך אחרת שקבע השר.</w:t>
      </w:r>
    </w:p>
    <w:p>
      <w:pPr>
        <w:bidi/>
        <w:spacing w:before="45" w:after="50" w:line="250" w:lineRule="auto"/>
        <w:ind/>
        <w:jc w:val="both"/>
        <w:tabs>
          <w:tab w:pos="720"/>
          <w:tab w:pos="1440"/>
          <w:tab w:pos="2160"/>
          <w:tab w:pos="2880"/>
          <w:tab w:pos="3600"/>
        </w:tabs>
        <w:ind w:start="1440" w:hanging="1440"/>
      </w:pPr>
      <w:defaultTabStop w:val="720"/>
      <w:bookmarkStart w:name="h20" w:id="20"/>
      <w:bookmarkEnd w:id="20"/>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עונשין</w:t>
                </w:r>
              </w:p>
            </w:txbxContent>
          </v:textbox>
        </v:rect>
      </w:pict>
      <w:r>
        <w:rPr>
          <w:lang w:bidi="he-IL"/>
          <w:rFonts w:hint="cs" w:cs="FrankRuehl"/>
          <w:szCs w:val="34"/>
          <w:rtl/>
        </w:rPr>
        <w:t xml:space="preserve">4.</w:t>
        <w:tab/>
      </w:r>
      <w:r>
        <w:rPr>
          <w:lang w:bidi="he-IL"/>
          <w:rFonts w:hint="cs" w:cs="FrankRuehl"/>
          <w:szCs w:val="26"/>
          <w:rtl/>
        </w:rPr>
        <w:t xml:space="preserve">(א)</w:t>
      </w:r>
      <w:r>
        <w:rPr>
          <w:lang w:bidi="he-IL"/>
          <w:rFonts w:hint="cs" w:cs="FrankRuehl"/>
          <w:szCs w:val="26"/>
          <w:rtl/>
        </w:rPr>
        <w:tab/>
        <w:t xml:space="preserve">העושה אחת מאלה, דינו קנס כאמור בסעיף 61(א)(3) לחוק העונשין, התשל"ז-1977 (להלן – חוק העונשין):</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לא יידע את הקונה בדבר זכותו על פי חוק זה להבטחת הכספים ששילם, בניגוד להוראות סעיף 2א1;</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(1א)</w:t>
      </w:r>
      <w:r>
        <w:rPr>
          <w:lang w:bidi="he-IL"/>
          <w:rFonts w:hint="cs" w:cs="FrankRuehl"/>
          <w:szCs w:val="26"/>
          <w:rtl/>
        </w:rPr>
        <w:tab/>
        <w:t xml:space="preserve">קיבל מקונה תשלומי כספים על חשבון מחיר הדירה, בלי שהובטחו הכספים בהתאם להוראות סעיף 3;</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לא דיווח לממונה על פרטי עסקאות מכר, בניגוד להוראות סעיף 3ה.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העושה אחת מאלה, דינו – מאסר שנה או כפל הקנס הקבוע בסעיף 61(א)(4) לחוק העונשין:</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קיבל על חשבון מחיר הדירה, סכום העולה על שבעה אחוזים מהמחיר בלי שהובטחו הכספים בהתאם להוראות סעיף 2;</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לא מסר לקונה את פנקס השוברים או קיבל תשלומים שלא באמצעות פנקס השוברים, בניגוד להוראות סעיף 3ב(ד).</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העושה אחת מאלה, דינו – כפל הקנס הקבוע בסעיף 61(א)(4) לחוק העונשין:</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לא הפיק פנקס שוברים או לא הפקיד את התשלומים באמצעות פנקס השוברים בחשבון הליווי, בניגוד להוראות סעיף 3ב(ג);</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לא המציא ערבות בנקאית או פוליסת ביטוח או לא וידא כי ניתנה בטוחה אחרת, בניגוד להוראות סעיף 3ב(ה);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לא יידע את הקונה בדבר זכויותיו להבטחת הכספים ששולמו למוכר או לא וידא כי ניתנה בטוחה לקונה או התחייבות בכתב של המוכר, בניגוד להוראות סעיף 3ג.</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הורשע מוכר בעבירה לפי סעיפים קטנים (א) או (ב), רשאי בית המשפט לפסול אותו מהשתתפות במכרזים לפי חוק חובת המכרזים, התשנ"ב-1992, שעורכים המדינה או תאגיד ממשלתי כהגדרתו בחוק האמור, לתקופה שלא תעלה על חמש שנים.</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(ה)</w:t>
      </w:r>
      <w:r>
        <w:rPr>
          <w:lang w:bidi="he-IL"/>
          <w:rFonts w:hint="cs" w:cs="FrankRuehl"/>
          <w:szCs w:val="26"/>
          <w:rtl/>
        </w:rPr>
        <w:tab/>
        <w:t xml:space="preserve">הורשע מוכר שהוא קבלן לעבודות הנדסה בנאיות, כמשמעותן בחוק רישום קבלנים לעבודות הנדסה בנאיות, התשכ"ט-1969 (בחוק זה – חוק רישום קבלנים), בעבירה לפי סעיפים קטנים (א) או (ב), רשאי בית המשפט לפסול אותו לרישום בפנקס, ואם נרשם – לבטל את רישומו, הכל לתקופה שיקבע בית המשפט.</w:t>
      </w:r>
    </w:p>
    <w:p>
      <w:pPr>
        <w:bidi/>
        <w:spacing w:before="45" w:after="50" w:line="250" w:lineRule="auto"/>
        <w:ind/>
        <w:jc w:val="both"/>
        <w:tabs>
          <w:tab w:pos="720"/>
          <w:tab w:pos="1440"/>
          <w:tab w:pos="2160"/>
          <w:tab w:pos="2880"/>
          <w:tab w:pos="3600"/>
        </w:tabs>
        <w:ind w:start="1440" w:hanging="1440"/>
      </w:pPr>
      <w:defaultTabStop w:val="720"/>
      <w:bookmarkStart w:name="h21" w:id="21"/>
      <w:bookmarkEnd w:id="21"/>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אחריות נושא משרה בתאגיד</w:t>
                </w:r>
              </w:p>
            </w:txbxContent>
          </v:textbox>
        </v:rect>
      </w:pict>
      <w:r>
        <w:rPr>
          <w:lang w:bidi="he-IL"/>
          <w:rFonts w:hint="cs" w:cs="FrankRuehl"/>
          <w:szCs w:val="34"/>
          <w:rtl/>
        </w:rPr>
        <w:t xml:space="preserve">4א.</w:t>
        <w:tab/>
      </w:r>
      <w:r>
        <w:rPr>
          <w:lang w:bidi="he-IL"/>
          <w:rFonts w:hint="cs" w:cs="FrankRuehl"/>
          <w:szCs w:val="26"/>
          <w:rtl/>
        </w:rPr>
        <w:t xml:space="preserve">(א)</w:t>
      </w:r>
      <w:r>
        <w:rPr>
          <w:lang w:bidi="he-IL"/>
          <w:rFonts w:hint="cs" w:cs="FrankRuehl"/>
          <w:szCs w:val="26"/>
          <w:rtl/>
        </w:rPr>
        <w:tab/>
        <w:t xml:space="preserve">נושא משרה בתאגיד חייב לפקח ולעשות כל שניתן למניעת עבירות לפי סעיף 4(א) או (ב) על ידי התאגיד או עובד מעובדיו; המפר הוראה זו, דינו – מחצית הקנס כאמור בסעיף 4(א) או (ב), לפי העניין; בסעיף זה, "נושא משרה" – מנהל פעיל בתאגיד ושותף, למעט שותף מוגבל או פקיד מטעם התאגיד האחראי על התחום שבו בוצעה העבירה.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הורשע תאגיד בעבירה לפי סעיף 4(א) או (ב), חזקה היא כי נושא משרה בתאגיד הפר את חובתו לפי הסעיף האמור, אלא אם כן הוכיח כי עשה כל שניתן כדי למלא את חובתו.</w:t>
      </w:r>
    </w:p>
    <w:p>
      <w:pPr>
        <w:bidi/>
        <w:spacing w:before="45" w:after="50" w:line="250" w:lineRule="auto"/>
        <w:ind/>
        <w:jc w:val="both"/>
        <w:tabs>
          <w:tab w:pos="720"/>
          <w:tab w:pos="1440"/>
          <w:tab w:pos="2160"/>
          <w:tab w:pos="2880"/>
          <w:tab w:pos="3600"/>
        </w:tabs>
        <w:ind w:start="1440" w:hanging="1440"/>
      </w:pPr>
      <w:defaultTabStop w:val="720"/>
      <w:bookmarkStart w:name="h22" w:id="22"/>
      <w:bookmarkEnd w:id="22"/>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הטלת עיצום כספי</w:t>
                </w:r>
              </w:p>
            </w:txbxContent>
          </v:textbox>
        </v:rect>
      </w:pict>
      <w:r>
        <w:rPr>
          <w:lang w:bidi="he-IL"/>
          <w:rFonts w:hint="cs" w:cs="FrankRuehl"/>
          <w:szCs w:val="34"/>
          <w:rtl/>
        </w:rPr>
        <w:t xml:space="preserve">4ב.</w:t>
        <w:tab/>
      </w:r>
      <w:r>
        <w:rPr>
          <w:lang w:bidi="he-IL"/>
          <w:rFonts w:hint="cs" w:cs="FrankRuehl"/>
          <w:szCs w:val="26"/>
          <w:rtl/>
        </w:rPr>
        <w:t xml:space="preserve">(א)</w:t>
      </w:r>
      <w:r>
        <w:rPr>
          <w:lang w:bidi="he-IL"/>
          <w:rFonts w:hint="cs" w:cs="FrankRuehl"/>
          <w:szCs w:val="26"/>
          <w:rtl/>
        </w:rPr>
        <w:tab/>
        <w:t xml:space="preserve">על הפרת הוראות אלה בידי מוכר או תאגיד יטיל הממונה על המוכר או על התאגיד, לפי העניין, עיצום כספי בהתאם להוראות סעיפים 4ג עד 4יג בסכום המפורט להלן, לפי העניין:</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אי-דיווח של המוכר לממונה על מידע לגבי מכירה של דירה, בניגוד להוראות סעיף 3ה – עיצום כספי בסכום של 32,250 שקלים חדשים;</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מכירת דירה לקונה על ידי המוכר בלא יידוע בכתב של הקונה בדבר זכותו על פי חוק זה, בניגוד להוראת סעיף 2א1 – עיצום כספי בסכום של 64,490 שקלים חדשים;</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אי-יידוע קונה בדבר זכויותיו להבטחת הכספים ששולמו למוכר או אי-וידוא כי ניתנה בטוחה לטובת הקונה או התחייבות בכתב של המוכר למתן בטוחה, בניגוד להוראות סעיף 3ג – עיצום כספי בסכום של 64,490 שקלים חדשים;</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(4)</w:t>
      </w:r>
      <w:r>
        <w:rPr>
          <w:lang w:bidi="he-IL"/>
          <w:rFonts w:hint="cs" w:cs="FrankRuehl"/>
          <w:szCs w:val="26"/>
          <w:rtl/>
        </w:rPr>
        <w:tab/>
        <w:t xml:space="preserve">אי-מסירת פנקס שוברים מהמוכר לקונה או קבלת תשלומים בעבור הדירה, בניגוד להוראות סעיף 3ב(ד) – עיצום כספי בסכום של 257,950 שקלים חדשים;</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(5)</w:t>
      </w:r>
      <w:r>
        <w:rPr>
          <w:lang w:bidi="he-IL"/>
          <w:rFonts w:hint="cs" w:cs="FrankRuehl"/>
          <w:szCs w:val="26"/>
          <w:rtl/>
        </w:rPr>
        <w:tab/>
        <w:t xml:space="preserve">קבלת סכום כסף העולה על שבעה אחוזים ממחיר הדירה, מהקונה על ידי המוכר, על חשבון מחיר הדירה, בניגוד להוראות סעיף 2 – עיצום כספי בסכום של 515,910 שקלים חדשים.</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על הפרת הוראות אלה בידי תאגיד בנקאי או מבטח, יטיל המפקח על הבנקים או הממונה על שוק ההון, על התאגיד הבנקאי או המבטח, הכל לפי העניין, עיצום כספי בהתאם להוראות סעיף 4יד בסכום של מיליון שקלים חדשים:</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אי-הפקת פנקס שוברי תשלום או אי-הפקדת תשלומים באמצעות פנקס השוברים בחשבון הליווי, בניגוד להוראות סעיף 3ב(ג);</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אי-הוצאת ערבות בנקאית או פוליסת ביטוח או אי-וידוא של הוצאת בטוחה אחרת, בניגוד להוראות סעיף 3ב(ה);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אי-יידוע הקונה בדבר זכויותיו להבטחת הכספים ששולמו למוכר או אי-וידוא כי ניתנה בטוחה לטובת הקונה או התחייבות בכתב של המוכר למתן בטוחה, בניגוד להוראות סעיף 3ג.</w:t>
      </w:r>
    </w:p>
    <w:p>
      <w:pPr>
        <w:bidi/>
        <w:spacing w:before="45" w:after="50" w:line="250" w:lineRule="auto"/>
        <w:ind/>
        <w:jc w:val="both"/>
        <w:tabs>
          <w:tab w:pos="720"/>
          <w:tab w:pos="1440"/>
          <w:tab w:pos="2160"/>
          <w:tab w:pos="2880"/>
          <w:tab w:pos="3600"/>
        </w:tabs>
        <w:ind w:start="720" w:hanging="720"/>
      </w:pPr>
      <w:defaultTabStop w:val="720"/>
      <w:bookmarkStart w:name="h23" w:id="23"/>
      <w:bookmarkEnd w:id="23"/>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הודעה על כוונת חיוב בעיצום כספי</w:t>
                </w:r>
              </w:p>
            </w:txbxContent>
          </v:textbox>
        </v:rect>
      </w:pict>
      <w:r>
        <w:rPr>
          <w:lang w:bidi="he-IL"/>
          <w:rFonts w:hint="cs" w:cs="FrankRuehl"/>
          <w:szCs w:val="34"/>
          <w:rtl/>
        </w:rPr>
        <w:t xml:space="preserve">4ג.</w:t>
      </w:r>
      <w:r>
        <w:rPr>
          <w:lang w:bidi="he-IL"/>
          <w:rFonts w:hint="cs" w:cs="FrankRuehl"/>
          <w:szCs w:val="26"/>
          <w:rtl/>
        </w:rPr>
        <w:tab/>
        <w:t xml:space="preserve">היה לממונה יסוד סביר להניח כי מי שחלה עליו חובה לפי הוראת חיקוק המנויה בסעיף 4ב הפר הוראה כאמור (להלן – המפר), רשאי הוא למסור לו הודעה על כוונה להטיל עליו עיצום כספי (בחוק זה – הודעה על כוונת חיוב); בהודעה כאמור יציין הממונה, בין השאר, את אלה: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המעשה המהווה את ההפרה;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שיעור העיצום הכספי והתקופה לתשלומו;</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זכותו של המפר לטעון את טענותיו לפני הממונה לפי הוראות סעיף 4ד;</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(4)</w:t>
      </w:r>
      <w:r>
        <w:rPr>
          <w:lang w:bidi="he-IL"/>
          <w:rFonts w:hint="cs" w:cs="FrankRuehl"/>
          <w:szCs w:val="26"/>
          <w:rtl/>
        </w:rPr>
        <w:tab/>
        <w:t xml:space="preserve">שיעור התוספת על העיצום הכספי בהפרה נמשכת או חוזרת לפי הוראות סעיף 4ז.</w:t>
      </w:r>
    </w:p>
    <w:p>
      <w:pPr>
        <w:bidi/>
        <w:spacing w:before="45" w:after="50" w:line="250" w:lineRule="auto"/>
        <w:ind/>
        <w:jc w:val="both"/>
        <w:tabs>
          <w:tab w:pos="720"/>
          <w:tab w:pos="1440"/>
          <w:tab w:pos="2160"/>
          <w:tab w:pos="2880"/>
          <w:tab w:pos="3600"/>
        </w:tabs>
        <w:ind w:start="720" w:hanging="720"/>
      </w:pPr>
      <w:defaultTabStop w:val="720"/>
      <w:bookmarkStart w:name="h24" w:id="24"/>
      <w:bookmarkEnd w:id="24"/>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טיעון בפני הממונה</w:t>
                </w:r>
              </w:p>
            </w:txbxContent>
          </v:textbox>
        </v:rect>
      </w:pict>
      <w:r>
        <w:rPr>
          <w:lang w:bidi="he-IL"/>
          <w:rFonts w:hint="cs" w:cs="FrankRuehl"/>
          <w:szCs w:val="34"/>
          <w:rtl/>
        </w:rPr>
        <w:t xml:space="preserve">4ד.</w:t>
      </w:r>
      <w:r>
        <w:rPr>
          <w:lang w:bidi="he-IL"/>
          <w:rFonts w:hint="cs" w:cs="FrankRuehl"/>
          <w:szCs w:val="26"/>
          <w:rtl/>
        </w:rPr>
        <w:tab/>
        <w:t xml:space="preserve">מפר שנמסרה לו הודעה על כוונת חיוב רשאי לטעון את טענותיו, בכתב, לפני הממונה, לעניין הכוונה להטיל את העיצום הכספי ולעניין שיעורו, בתוך 30 ימים ממועד מסירת ההודעה.</w:t>
      </w:r>
    </w:p>
    <w:p>
      <w:pPr>
        <w:bidi/>
        <w:spacing w:before="45" w:after="50" w:line="250" w:lineRule="auto"/>
        <w:ind/>
        <w:jc w:val="both"/>
        <w:tabs>
          <w:tab w:pos="720"/>
          <w:tab w:pos="1440"/>
          <w:tab w:pos="2160"/>
          <w:tab w:pos="2880"/>
          <w:tab w:pos="3600"/>
        </w:tabs>
        <w:ind w:start="1440" w:hanging="1440"/>
      </w:pPr>
      <w:defaultTabStop w:val="720"/>
      <w:bookmarkStart w:name="h25" w:id="25"/>
      <w:bookmarkEnd w:id="25"/>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הודעת חיוב</w:t>
                </w:r>
              </w:p>
            </w:txbxContent>
          </v:textbox>
        </v:rect>
      </w:pict>
      <w:r>
        <w:rPr>
          <w:lang w:bidi="he-IL"/>
          <w:rFonts w:hint="cs" w:cs="FrankRuehl"/>
          <w:szCs w:val="34"/>
          <w:rtl/>
        </w:rPr>
        <w:t xml:space="preserve">4ה.</w:t>
        <w:tab/>
      </w:r>
      <w:r>
        <w:rPr>
          <w:lang w:bidi="he-IL"/>
          <w:rFonts w:hint="cs" w:cs="FrankRuehl"/>
          <w:szCs w:val="26"/>
          <w:rtl/>
        </w:rPr>
        <w:t xml:space="preserve">(א)</w:t>
      </w:r>
      <w:r>
        <w:rPr>
          <w:lang w:bidi="he-IL"/>
          <w:rFonts w:hint="cs" w:cs="FrankRuehl"/>
          <w:szCs w:val="26"/>
          <w:rtl/>
        </w:rPr>
        <w:tab/>
        <w:t xml:space="preserve">טען מפר את טענותיו לפני הממונה לפי הוראות סעיף 4ד, יחליט הממונה, לאחר ששקל את הטענות שנטענו, אם להטיל על המפר עיצום כספי, ורשאי הוא להפחית את סכום העיצום הכספי לפי הוראות סעיף 4ח.</w:t>
      </w:r>
    </w:p>
    <w:p>
      <w:pPr>
        <w:bidi/>
        <w:spacing w:before="45" w:after="50" w:line="250" w:lineRule="auto"/>
        <w:ind/>
        <w:jc w:val="both"/>
        <w:tabs>
          <w:tab w:pos="720"/>
          <w:tab w:pos="1440"/>
          <w:tab w:pos="2160"/>
          <w:tab w:pos="2880"/>
          <w:tab w:pos="3600"/>
        </w:tabs>
        <w:ind w:start="2160" w:hanging="1440"/>
      </w:pPr>
      <w:defaultTabStop w:val="720"/>
      <w:r>
        <w:rPr>
          <w:lang w:bidi="he-IL"/>
          <w:rFonts w:hint="cs" w:cs="FrankRuehl"/>
          <w:szCs w:val="26"/>
          <w:rtl/>
        </w:rPr>
        <w:t xml:space="preserve">(ב)</w:t>
        <w:tab/>
      </w:r>
      <w:r>
        <w:rPr>
          <w:lang w:bidi="he-IL"/>
          <w:rFonts w:hint="cs" w:cs="FrankRuehl"/>
          <w:szCs w:val="26"/>
          <w:rtl/>
        </w:rPr>
        <w:t xml:space="preserve">(1)</w:t>
      </w:r>
      <w:r>
        <w:rPr>
          <w:lang w:bidi="he-IL"/>
          <w:rFonts w:hint="cs" w:cs="FrankRuehl"/>
          <w:szCs w:val="26"/>
          <w:rtl/>
        </w:rPr>
        <w:tab/>
        <w:t xml:space="preserve">החליט הממונה לפי הוראות סעיף קטן (א) להטיל על המפר עיצום כספי, ימסור לו דרישה לשלם את העיצום הכספי (להלן – הודעת חיוב); בהודעת החיוב יציין הממונה, בין השאר, את סכום העיצום הכספי המעודכן והתקופה לתשלומו;</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החליט הממונה לפי הוראות סעיף קטן (א) שלא להטיל על המפר עיצום כספי, ימסור הודעה על כך למפר.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לא ביקש המפר לטעון את טענותיו לפי הוראות סעיף 4ד, בתוך 30 ימים מיום שנמסרה לו ההודעה על כוונת חיוב, יראו הודעה זו, בתום 30 הימים האמורים, כהודעת חיוב שנמסרה למפר במועד האמור.</w:t>
      </w:r>
    </w:p>
    <w:p>
      <w:pPr>
        <w:bidi/>
        <w:spacing w:before="45" w:after="50" w:line="250" w:lineRule="auto"/>
        <w:ind/>
        <w:jc w:val="both"/>
        <w:tabs>
          <w:tab w:pos="720"/>
          <w:tab w:pos="1440"/>
          <w:tab w:pos="2160"/>
          <w:tab w:pos="2880"/>
          <w:tab w:pos="3600"/>
        </w:tabs>
        <w:ind w:start="1440" w:hanging="1440"/>
      </w:pPr>
      <w:defaultTabStop w:val="720"/>
      <w:bookmarkStart w:name="h26" w:id="26"/>
      <w:bookmarkEnd w:id="26"/>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סכום מעודכן של העיצום הכספי</w:t>
                </w:r>
              </w:p>
            </w:txbxContent>
          </v:textbox>
        </v:rect>
      </w:pict>
      <w:r>
        <w:rPr>
          <w:lang w:bidi="he-IL"/>
          <w:rFonts w:hint="cs" w:cs="FrankRuehl"/>
          <w:szCs w:val="34"/>
          <w:rtl/>
        </w:rPr>
        <w:t xml:space="preserve">4ו.</w:t>
        <w:tab/>
      </w:r>
      <w:r>
        <w:rPr>
          <w:lang w:bidi="he-IL"/>
          <w:rFonts w:hint="cs" w:cs="FrankRuehl"/>
          <w:szCs w:val="26"/>
          <w:rtl/>
        </w:rPr>
        <w:t xml:space="preserve">(א)</w:t>
      </w:r>
      <w:r>
        <w:rPr>
          <w:lang w:bidi="he-IL"/>
          <w:rFonts w:hint="cs" w:cs="FrankRuehl"/>
          <w:szCs w:val="26"/>
          <w:rtl/>
        </w:rPr>
        <w:tab/>
        <w:t xml:space="preserve">העיצום הכספי יהיה לפי סכומו המעודכן ביום מסירת הודעת החיוב, ולגבי מפר שלא טען את טענותיו לפני הממונה כאמור בסעיף 4ד – ביום מסירת ההודעה על כוונת החיוב; הוגש ערר על החלטת הממונה לפי סעיף 4ה, וועדת הערר הורתה על עיכוב תשלומו של העיצום הכספי – יהיה העיצום הכספי לפי סכומו המעודכן ביום ההחלטה בערר.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סכום העיצום הכספי יעודכן ב-1 בינואר בכל שנה (בסעיף קטן זה – יום העדכון), בהתאם לשיעור עליית המדד הידוע ביום העדכון לעומת המדד שהיה ידוע ביום ז' בתשרי התשס"ט (6 באוקטובר 2008); הסכום האמור יעוגל לסכום הקרוב שהוא מכפלה של 10 שקלים חדשים; לעניין זה, "מדד" – מדד המחירים לצרכן שמפרסמת הלשכה המרכזית לסטטיסטיקה.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הודעה על סכום העיצום הכספי המעודכן לפי סעיף קטן (ב), תפורסם ברשומות.</w:t>
      </w:r>
    </w:p>
    <w:p>
      <w:pPr>
        <w:bidi/>
        <w:spacing w:before="45" w:after="50" w:line="250" w:lineRule="auto"/>
        <w:ind/>
        <w:jc w:val="both"/>
        <w:tabs>
          <w:tab w:pos="720"/>
          <w:tab w:pos="1440"/>
          <w:tab w:pos="2160"/>
          <w:tab w:pos="2880"/>
          <w:tab w:pos="3600"/>
        </w:tabs>
        <w:ind w:start="1440" w:hanging="1440"/>
      </w:pPr>
      <w:defaultTabStop w:val="720"/>
      <w:bookmarkStart w:name="h27" w:id="27"/>
      <w:bookmarkEnd w:id="27"/>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הפרה נמשכת והפרה חוזרת</w:t>
                </w:r>
              </w:p>
            </w:txbxContent>
          </v:textbox>
        </v:rect>
      </w:pict>
      <w:r>
        <w:rPr>
          <w:lang w:bidi="he-IL"/>
          <w:rFonts w:hint="cs" w:cs="FrankRuehl"/>
          <w:szCs w:val="34"/>
          <w:rtl/>
        </w:rPr>
        <w:t xml:space="preserve">4ז.</w:t>
        <w:tab/>
      </w:r>
      <w:r>
        <w:rPr>
          <w:lang w:bidi="he-IL"/>
          <w:rFonts w:hint="cs" w:cs="FrankRuehl"/>
          <w:szCs w:val="26"/>
          <w:rtl/>
        </w:rPr>
        <w:t xml:space="preserve">(א)</w:t>
      </w:r>
      <w:r>
        <w:rPr>
          <w:lang w:bidi="he-IL"/>
          <w:rFonts w:hint="cs" w:cs="FrankRuehl"/>
          <w:szCs w:val="26"/>
          <w:rtl/>
        </w:rPr>
        <w:tab/>
        <w:t xml:space="preserve">בהפרה נמשכת ייווסף על העיצום הכספי החלק החמישים שלו לכל יום שבו נמשכת ההפרה.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בהפרה חוזרת ייווסף על העיצום הכספי שהיה ניתן להטיל בשלה אילו היתה הפרה ראשונה, סכום השווה לעיצום הכספי כאמור; לעניין זה, "הפרה חוזרת" – הפרת הוראה המנויה בסעיף 4ב, בתוך שנתיים מהפרה קודמת של אותה הוראה, שבשלה הוטל על המפר עיצום כספי או שבשלה הורשע.</w:t>
      </w:r>
    </w:p>
    <w:p>
      <w:pPr>
        <w:bidi/>
        <w:spacing w:before="45" w:after="50" w:line="250" w:lineRule="auto"/>
        <w:ind/>
        <w:jc w:val="both"/>
        <w:tabs>
          <w:tab w:pos="720"/>
          <w:tab w:pos="1440"/>
          <w:tab w:pos="2160"/>
          <w:tab w:pos="2880"/>
          <w:tab w:pos="3600"/>
        </w:tabs>
        <w:ind w:start="1440" w:hanging="1440"/>
      </w:pPr>
      <w:defaultTabStop w:val="720"/>
      <w:bookmarkStart w:name="h28" w:id="28"/>
      <w:bookmarkEnd w:id="28"/>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סכומים מופחתים</w:t>
                </w:r>
              </w:p>
            </w:txbxContent>
          </v:textbox>
        </v:rect>
      </w:pict>
      <w:r>
        <w:rPr>
          <w:lang w:bidi="he-IL"/>
          <w:rFonts w:hint="cs" w:cs="FrankRuehl"/>
          <w:szCs w:val="34"/>
          <w:rtl/>
        </w:rPr>
        <w:t xml:space="preserve">4ח.</w:t>
        <w:tab/>
      </w:r>
      <w:r>
        <w:rPr>
          <w:lang w:bidi="he-IL"/>
          <w:rFonts w:hint="cs" w:cs="FrankRuehl"/>
          <w:szCs w:val="26"/>
          <w:rtl/>
        </w:rPr>
        <w:t xml:space="preserve">(א)</w:t>
      </w:r>
      <w:r>
        <w:rPr>
          <w:lang w:bidi="he-IL"/>
          <w:rFonts w:hint="cs" w:cs="FrankRuehl"/>
          <w:szCs w:val="26"/>
          <w:rtl/>
        </w:rPr>
        <w:tab/>
        <w:t xml:space="preserve">הממונה אינו רשאי להטיל עיצום כספי בסכום הנמוך מהסכומים הקבועים בפרק זה, אלא לפי הוראות סעיף קטן (ב).</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השר, בהסכמת שר המשפטים, רשאי לקבוע מקרים, נסיבות ושיקולים שבשלהם יהיה ניתן להטיל עיצום כספי בסכום הנמוך מהקבוע בפרק זה, בשיעורים שיקבע.</w:t>
      </w:r>
    </w:p>
    <w:p>
      <w:pPr>
        <w:bidi/>
        <w:spacing w:before="45" w:after="50" w:line="250" w:lineRule="auto"/>
        <w:ind/>
        <w:jc w:val="both"/>
        <w:tabs>
          <w:tab w:pos="720"/>
          <w:tab w:pos="1440"/>
          <w:tab w:pos="2160"/>
          <w:tab w:pos="2880"/>
          <w:tab w:pos="3600"/>
        </w:tabs>
        <w:ind w:start="720" w:hanging="720"/>
      </w:pPr>
      <w:defaultTabStop w:val="720"/>
      <w:bookmarkStart w:name="h29" w:id="29"/>
      <w:bookmarkEnd w:id="29"/>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המועד לתשלום העיצום הכספי</w:t>
                </w:r>
              </w:p>
            </w:txbxContent>
          </v:textbox>
        </v:rect>
      </w:pict>
      <w:r>
        <w:rPr>
          <w:lang w:bidi="he-IL"/>
          <w:rFonts w:hint="cs" w:cs="FrankRuehl"/>
          <w:szCs w:val="34"/>
          <w:rtl/>
        </w:rPr>
        <w:t xml:space="preserve">4ט.</w:t>
      </w:r>
      <w:r>
        <w:rPr>
          <w:lang w:bidi="he-IL"/>
          <w:rFonts w:hint="cs" w:cs="FrankRuehl"/>
          <w:szCs w:val="26"/>
          <w:rtl/>
        </w:rPr>
        <w:tab/>
        <w:t xml:space="preserve">העיצום הכספי ישולם בתוך 30 ימים מיום מסירת הודעת החיוב כאמור בסעיף 4ה.</w:t>
      </w:r>
    </w:p>
    <w:p>
      <w:pPr>
        <w:bidi/>
        <w:spacing w:before="45" w:after="50" w:line="250" w:lineRule="auto"/>
        <w:ind/>
        <w:jc w:val="both"/>
        <w:tabs>
          <w:tab w:pos="720"/>
          <w:tab w:pos="1440"/>
          <w:tab w:pos="2160"/>
          <w:tab w:pos="2880"/>
          <w:tab w:pos="3600"/>
        </w:tabs>
        <w:ind w:start="720" w:hanging="720"/>
      </w:pPr>
      <w:defaultTabStop w:val="720"/>
      <w:bookmarkStart w:name="h30" w:id="30"/>
      <w:bookmarkEnd w:id="30"/>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ריבית שקלית ודמי פיגורים</w:t>
                </w:r>
              </w:p>
            </w:txbxContent>
          </v:textbox>
        </v:rect>
      </w:pict>
      <w:r>
        <w:rPr>
          <w:lang w:bidi="he-IL"/>
          <w:rFonts w:hint="cs" w:cs="FrankRuehl"/>
          <w:szCs w:val="34"/>
          <w:rtl/>
        </w:rPr>
        <w:t xml:space="preserve">4י.</w:t>
      </w:r>
      <w:r>
        <w:rPr>
          <w:lang w:bidi="he-IL"/>
          <w:rFonts w:hint="cs" w:cs="FrankRuehl"/>
          <w:szCs w:val="26"/>
          <w:rtl/>
        </w:rPr>
        <w:tab/>
        <w:t xml:space="preserve">לא שולם עיצום כספי במועד, ייווספו עליו לתקופת הפיגור ריבית שקלית ודמי פיגורים, עד לתשלומו, ויחולו הוראות חוק פסיקת ריבית והצמדה, בשינויים המחויבים; בחוק זה –
"דמי פיגורים" ו"ריבית שקלית" – כהגדרתם בחוק פסיקת ריבית והצמדה;
"חוק פסיקת ריבית והצמדה" – חוק פסיקת ריבית והצמדה, התשכ"א-1961.</w:t>
      </w:r>
    </w:p>
    <w:p>
      <w:pPr>
        <w:bidi/>
        <w:spacing w:before="45" w:after="50" w:line="250" w:lineRule="auto"/>
        <w:ind/>
        <w:jc w:val="both"/>
        <w:tabs>
          <w:tab w:pos="720"/>
          <w:tab w:pos="1440"/>
          <w:tab w:pos="2160"/>
          <w:tab w:pos="2880"/>
          <w:tab w:pos="3600"/>
        </w:tabs>
        <w:ind w:start="720" w:hanging="720"/>
      </w:pPr>
      <w:defaultTabStop w:val="720"/>
      <w:bookmarkStart w:name="h31" w:id="31"/>
      <w:bookmarkEnd w:id="31"/>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גביה</w:t>
                </w:r>
              </w:p>
            </w:txbxContent>
          </v:textbox>
        </v:rect>
      </w:pict>
      <w:r>
        <w:rPr>
          <w:lang w:bidi="he-IL"/>
          <w:rFonts w:hint="cs" w:cs="FrankRuehl"/>
          <w:szCs w:val="34"/>
          <w:rtl/>
        </w:rPr>
        <w:t xml:space="preserve">4יא.</w:t>
      </w:r>
      <w:r>
        <w:rPr>
          <w:lang w:bidi="he-IL"/>
          <w:rFonts w:hint="cs" w:cs="FrankRuehl"/>
          <w:szCs w:val="26"/>
          <w:rtl/>
        </w:rPr>
        <w:tab/>
        <w:t xml:space="preserve">עיצום כספי ייגבה לאוצר המדינה, ועל גבייתו תחול פקודת המסים (גביה).</w:t>
      </w:r>
    </w:p>
    <w:p>
      <w:pPr>
        <w:bidi/>
        <w:spacing w:before="45" w:after="50" w:line="250" w:lineRule="auto"/>
        <w:ind/>
        <w:jc w:val="both"/>
        <w:tabs>
          <w:tab w:pos="720"/>
          <w:tab w:pos="1440"/>
          <w:tab w:pos="2160"/>
          <w:tab w:pos="2880"/>
          <w:tab w:pos="3600"/>
        </w:tabs>
        <w:ind w:start="1440" w:hanging="1440"/>
      </w:pPr>
      <w:defaultTabStop w:val="720"/>
      <w:bookmarkStart w:name="h32" w:id="32"/>
      <w:bookmarkEnd w:id="32"/>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שמירת אחריות פלילית</w:t>
                </w:r>
              </w:p>
            </w:txbxContent>
          </v:textbox>
        </v:rect>
      </w:pict>
      <w:r>
        <w:rPr>
          <w:lang w:bidi="he-IL"/>
          <w:rFonts w:hint="cs" w:cs="FrankRuehl"/>
          <w:szCs w:val="34"/>
          <w:rtl/>
        </w:rPr>
        <w:t xml:space="preserve">4יב.</w:t>
        <w:tab/>
      </w:r>
      <w:r>
        <w:rPr>
          <w:lang w:bidi="he-IL"/>
          <w:rFonts w:hint="cs" w:cs="FrankRuehl"/>
          <w:szCs w:val="26"/>
          <w:rtl/>
        </w:rPr>
        <w:t xml:space="preserve">(א)</w:t>
      </w:r>
      <w:r>
        <w:rPr>
          <w:lang w:bidi="he-IL"/>
          <w:rFonts w:hint="cs" w:cs="FrankRuehl"/>
          <w:szCs w:val="26"/>
          <w:rtl/>
        </w:rPr>
        <w:tab/>
        <w:t xml:space="preserve">תשלום עיצום כספי לא יגרע מאחריותו הפלילית של אדם בשל הפרת הוראה המנויה בסעיף 4ב.</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הוגש נגד מפר כתב אישום בשל הפרת הוראה המנויה בסעיף 4ב, לא יחויב בשלה בתשלום עיצום כספי, ואם שילם – יוחזר לו הסכום ששולם בתוספת ריבית שקלית מיום תשלומו עד יום החזרתו, ויחולו הוראות חוק פסיקת ריבית והצמדה לעניין ריבית זו, בשינויים המחויבים.</w:t>
      </w:r>
    </w:p>
    <w:p>
      <w:pPr>
        <w:bidi/>
        <w:spacing w:before="45" w:after="50" w:line="250" w:lineRule="auto"/>
        <w:ind/>
        <w:jc w:val="both"/>
        <w:tabs>
          <w:tab w:pos="720"/>
          <w:tab w:pos="1440"/>
          <w:tab w:pos="2160"/>
          <w:tab w:pos="2880"/>
          <w:tab w:pos="3600"/>
        </w:tabs>
        <w:ind w:start="1440" w:hanging="1440"/>
      </w:pPr>
      <w:defaultTabStop w:val="720"/>
      <w:bookmarkStart w:name="h33" w:id="33"/>
      <w:bookmarkEnd w:id="33"/>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ערר</w:t>
                </w:r>
              </w:p>
            </w:txbxContent>
          </v:textbox>
        </v:rect>
      </w:pict>
      <w:r>
        <w:rPr>
          <w:lang w:bidi="he-IL"/>
          <w:rFonts w:hint="cs" w:cs="FrankRuehl"/>
          <w:szCs w:val="34"/>
          <w:rtl/>
        </w:rPr>
        <w:t xml:space="preserve">4יג.</w:t>
        <w:tab/>
      </w:r>
      <w:r>
        <w:rPr>
          <w:lang w:bidi="he-IL"/>
          <w:rFonts w:hint="cs" w:cs="FrankRuehl"/>
          <w:szCs w:val="26"/>
          <w:rtl/>
        </w:rPr>
        <w:t xml:space="preserve">(א)</w:t>
      </w:r>
      <w:r>
        <w:rPr>
          <w:lang w:bidi="he-IL"/>
          <w:rFonts w:hint="cs" w:cs="FrankRuehl"/>
          <w:szCs w:val="26"/>
          <w:rtl/>
        </w:rPr>
        <w:tab/>
        <w:t xml:space="preserve">מי שנמסרה לו הודעת חיוב רשאי לערור לפני ועדת הערר שהוקמה לפי סעיף 10 לחוק רישום קבלנים (בסעיף זה – ועדת הערר); על ערר לפי סעיף זה יחולו ההוראות בדבר סמכויות עזר, סדרי דין וערעור מינהלי לפי החוק האמור.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הערר יוגש בתוך 30 ימים מיום שנמסרה הודעת החיוב.</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אין בהגשת ערר כדי לעכב את תשלום העיצום הכספי אלא אם כן הורו הממונה או ועדת הערר אחרת.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שולם העיצום הכספי והתקבל הערר, יוחזר הסכום ששולם בתוספת ריבית שקלית מיום תשלומו ועד יום החזרתו, ויחולו הוראות חוק פסיקת ריבית והצמדה לעניין ריבית זו, בשינויים המחויבים.</w:t>
      </w:r>
    </w:p>
    <w:p>
      <w:pPr>
        <w:bidi/>
        <w:spacing w:before="45" w:after="50" w:line="250" w:lineRule="auto"/>
        <w:ind/>
        <w:jc w:val="both"/>
        <w:tabs>
          <w:tab w:pos="720"/>
          <w:tab w:pos="1440"/>
          <w:tab w:pos="2160"/>
          <w:tab w:pos="2880"/>
          <w:tab w:pos="3600"/>
        </w:tabs>
        <w:ind w:start="1440" w:hanging="1440"/>
      </w:pPr>
      <w:defaultTabStop w:val="720"/>
      <w:bookmarkStart w:name="h34" w:id="34"/>
      <w:bookmarkEnd w:id="34"/>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הטלת עיצום כספי על תאגיד בנקאי או מבטח</w:t>
                </w:r>
              </w:p>
            </w:txbxContent>
          </v:textbox>
        </v:rect>
      </w:pict>
      <w:r>
        <w:rPr>
          <w:lang w:bidi="he-IL"/>
          <w:rFonts w:hint="cs" w:cs="FrankRuehl"/>
          <w:szCs w:val="34"/>
          <w:rtl/>
        </w:rPr>
        <w:t xml:space="preserve">4יד.</w:t>
        <w:tab/>
      </w:r>
      <w:r>
        <w:rPr>
          <w:lang w:bidi="he-IL"/>
          <w:rFonts w:hint="cs" w:cs="FrankRuehl"/>
          <w:szCs w:val="26"/>
          <w:rtl/>
        </w:rPr>
        <w:t xml:space="preserve">(א)</w:t>
      </w:r>
      <w:r>
        <w:rPr>
          <w:lang w:bidi="he-IL"/>
          <w:rFonts w:hint="cs" w:cs="FrankRuehl"/>
          <w:szCs w:val="26"/>
          <w:rtl/>
        </w:rPr>
        <w:tab/>
        <w:t xml:space="preserve">הוראות סעיפים 4ג עד 4יג יחולו על תאגיד בנקאי בשינויים אלה: סמכויות הממונה לפי אותם סעיפים יהיו נתונות למפקח על הבנקים ועל הודעת חיוב יהיה ניתן לערער לפי הוראות סעיף 14טו לפקודת הבנקאות.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הוראות סעיפים 4ג עד 4יג יחולו על מבטח בשינויים אלה: סמכויות הממונה לפי אותם סעיפים יהיו נתונות לממונה על שוק ההון, ועל הודעת חיוב יהיה ניתן לערער לפי הוראות סעיף 92יב לחוק הפיקוח על הביטוח.</w:t>
      </w:r>
    </w:p>
    <w:p>
      <w:pPr>
        <w:bidi/>
        <w:spacing w:before="45" w:after="50" w:line="250" w:lineRule="auto"/>
        <w:ind/>
        <w:jc w:val="both"/>
        <w:tabs>
          <w:tab w:pos="720"/>
          <w:tab w:pos="1440"/>
          <w:tab w:pos="2160"/>
          <w:tab w:pos="2880"/>
          <w:tab w:pos="3600"/>
        </w:tabs>
        <w:ind w:start="720" w:hanging="720"/>
      </w:pPr>
      <w:defaultTabStop w:val="720"/>
      <w:bookmarkStart w:name="h35" w:id="35"/>
      <w:bookmarkEnd w:id="35"/>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תחולה</w:t>
                </w:r>
              </w:p>
            </w:txbxContent>
          </v:textbox>
        </v:rect>
      </w:pict>
      <w:r>
        <w:rPr>
          <w:lang w:bidi="he-IL"/>
          <w:rFonts w:hint="cs" w:cs="FrankRuehl"/>
          <w:szCs w:val="34"/>
          <w:rtl/>
        </w:rPr>
        <w:t xml:space="preserve">5.</w:t>
      </w:r>
      <w:r>
        <w:rPr>
          <w:lang w:bidi="he-IL"/>
          <w:rFonts w:hint="cs" w:cs="FrankRuehl"/>
          <w:szCs w:val="26"/>
          <w:rtl/>
        </w:rPr>
        <w:tab/>
        <w:t xml:space="preserve">הוראות חוק זה לא יחולו על דירה שחוזה המכר לגביה נכרת לפני תחילתו של חוק זה.</w:t>
      </w:r>
    </w:p>
    <w:p>
      <w:pPr>
        <w:bidi/>
        <w:spacing w:before="45" w:after="50" w:line="250" w:lineRule="auto"/>
        <w:ind/>
        <w:jc w:val="both"/>
        <w:tabs>
          <w:tab w:pos="720"/>
          <w:tab w:pos="1440"/>
          <w:tab w:pos="2160"/>
          <w:tab w:pos="2880"/>
          <w:tab w:pos="3600"/>
        </w:tabs>
        <w:ind w:start="720" w:hanging="720"/>
      </w:pPr>
      <w:defaultTabStop w:val="720"/>
      <w:bookmarkStart w:name="h36" w:id="36"/>
      <w:bookmarkEnd w:id="36"/>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ביצוע ותקנות</w:t>
                </w:r>
              </w:p>
            </w:txbxContent>
          </v:textbox>
        </v:rect>
      </w:pict>
      <w:r>
        <w:rPr>
          <w:lang w:bidi="he-IL"/>
          <w:rFonts w:hint="cs" w:cs="FrankRuehl"/>
          <w:szCs w:val="34"/>
          <w:rtl/>
        </w:rPr>
        <w:t xml:space="preserve">6.</w:t>
      </w:r>
      <w:r>
        <w:rPr>
          <w:lang w:bidi="he-IL"/>
          <w:rFonts w:hint="cs" w:cs="FrankRuehl"/>
          <w:szCs w:val="26"/>
          <w:rtl/>
        </w:rPr>
        <w:tab/>
        <w:t xml:space="preserve">השר ממונה על ביצוע חוק זה והוא רשאי להתקין תקנות לביצועו, לרבות תקנות הקובעות דרכי הוכחה בדבר השלמת בנייתה של דירה לענין סעיפים 2א ו-2ב(1).</w:t>
      </w:r>
    </w:p>
    <w:p>
      <w:pPr>
        <w:bidi/>
        <w:spacing w:before="45" w:after="50" w:line="250" w:lineRule="auto"/>
        <w:ind/>
        <w:jc w:val="both"/>
        <w:tabs>
          <w:tab w:pos="720"/>
          <w:tab w:pos="1440"/>
          <w:tab w:pos="2160"/>
          <w:tab w:pos="2880"/>
          <w:tab w:pos="3600"/>
        </w:tabs>
        <w:ind w:start="720" w:hanging="720"/>
      </w:pPr>
      <w:defaultTabStop w:val="720"/>
      <w:bookmarkStart w:name="h37" w:id="37"/>
      <w:bookmarkEnd w:id="37"/>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תחילה</w:t>
                </w:r>
              </w:p>
            </w:txbxContent>
          </v:textbox>
        </v:rect>
      </w:pict>
      <w:r>
        <w:rPr>
          <w:lang w:bidi="he-IL"/>
          <w:rFonts w:hint="cs" w:cs="FrankRuehl"/>
          <w:szCs w:val="34"/>
          <w:rtl/>
        </w:rPr>
        <w:t xml:space="preserve">7.</w:t>
      </w:r>
      <w:r>
        <w:rPr>
          <w:lang w:bidi="he-IL"/>
          <w:rFonts w:hint="cs" w:cs="FrankRuehl"/>
          <w:szCs w:val="26"/>
          <w:rtl/>
        </w:rPr>
        <w:tab/>
        <w:t xml:space="preserve">תחילתו של חוק זה ביום כ"א בשבט תשל"ה (2 בפברואר 1975).</w:t>
      </w:r>
    </w:p>
    <w:p>
      <w:pPr>
        <w:bidi/>
        <w:spacing w:before="70" w:after="5" w:line="250" w:lineRule="auto"/>
        <w:jc w:val="center"/>
      </w:pPr>
      <w:defaultTabStop w:val="720"/>
      <w:bookmarkStart w:name="h38" w:id="38"/>
      <w:bookmarkEnd w:id="38"/>
    </w:p>
    <w:p>
      <w:pPr>
        <w:bidi/>
        <w:spacing w:before="70" w:after="5" w:line="250" w:lineRule="auto"/>
        <w:jc w:val="center"/>
      </w:pPr>
      <w:defaultTabStop w:val="720"/>
      <w:r>
        <w:rPr>
          <w:lang w:bidi="he-IL"/>
          <w:rFonts w:hint="cs" w:cs="FrankRuehl"/>
          <w:szCs w:val="26"/>
          <w:b/>
          <w:bCs/>
          <w:rtl/>
        </w:rPr>
        <w:t xml:space="preserve">תוספת</w:t>
      </w:r>
    </w:p>
    <w:p>
      <w:pPr>
        <w:bidi/>
        <w:spacing w:before="45" w:after="5" w:line="250" w:lineRule="auto"/>
        <w:jc w:val="center"/>
      </w:pPr>
      <w:defaultTabStop w:val="720"/>
      <w:r>
        <w:rPr>
          <w:lang w:bidi="he-IL"/>
          <w:rFonts w:hint="cs" w:cs="FrankRuehl"/>
          <w:szCs w:val="26"/>
          <w:rtl/>
        </w:rPr>
        <w:t xml:space="preserve">(סעיף 2ג)</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
      </w:r>
      <w:hyperlink xmlns:r="http://schemas.openxmlformats.org/officeDocument/2006/relationships" w:history="true" r:id="R305c60cc659e4803">
        <w:r>
          <w:rPr>
            <w:rStyle w:val="Hyperlink"/>
            <w:u w:val="single"/>
            <w:color w:themeColor="hyperlink"/>
          </w:rPr>
          <w:t>סעיף זה מכיל טבלה או תמונה - לחצו לצפיה</w:t>
        </w:r>
      </w:hyperlink>
    </w:p>
    <w:p>
      <w:pPr>
        <w:bidi/>
        <w:spacing w:before="45" w:after="50" w:line="250" w:lineRule="auto"/>
        <w:ind/>
        <w:jc w:val="both"/>
        <w:tabs>
          <w:tab w:pos="720"/>
          <w:tab w:pos="1440"/>
          <w:tab w:pos="2160"/>
          <w:tab w:pos="2880"/>
          <w:tab w:pos="3600"/>
        </w:tabs>
      </w:pPr>
      <w:defaultTabStop w:val="720"/>
    </w:p>
    <w:p>
      <w:pPr>
        <w:bidi/>
        <w:spacing w:before="45" w:after="50" w:line="250" w:lineRule="auto"/>
        <w:ind/>
        <w:jc w:val="both"/>
        <w:tabs>
          <w:tab w:pos="720"/>
          <w:tab w:pos="1440"/>
          <w:tab w:pos="2160"/>
          <w:tab w:pos="2880"/>
          <w:tab w:pos="3600"/>
        </w:tabs>
      </w:pPr>
      <w:defaultTabStop w:val="720"/>
    </w:p>
    <w:p>
      <w:pPr>
        <w:bidi/>
        <w:spacing w:before="45" w:after="50" w:line="250" w:lineRule="auto"/>
        <w:ind/>
        <w:jc w:val="both"/>
        <w:tabs>
          <w:tab w:pos="720"/>
          <w:tab w:pos="1440"/>
          <w:tab w:pos="2160"/>
          <w:tab w:pos="2880"/>
          <w:tab w:pos="3600"/>
        </w:tabs>
      </w:pPr>
      <w:defaultTabStop w:val="720"/>
      <w:r>
        <w:rPr>
          <w:lang w:bidi="he-IL"/>
          <w:rFonts w:hint="cs" w:cs="FrankRuehl"/>
          <w:szCs w:val="26"/>
          <w:rtl/>
        </w:rPr>
        <w:tbl>
          <w:tblPr>
            <w:tblW w:w="5000" w:type="pct"/>
            <w:updateFields w:val="true"/>
          </w:tblPr>
          <w:tr>
            <w:trPr>
              <w:cantSplit w:val="on"/>
            </w:trPr>
            <w:tc>
              <w:tcPr>
                <w:tcW w:w="16.66%"/>
              </w:tcPr>
              <w:p>
                <w:pPr>
                  <w:bidi/>
                  <w:spacing w:before="45" w:after="3" w:line="250" w:lineRule="auto"/>
                  <w:jc w:val="center"/>
                </w:pPr>
                <w:defaultTabStop w:val="720"/>
                <w:r>
                  <w:rPr>
                    <w:lang w:bidi="he-IL"/>
                    <w:rFonts w:hint="cs" w:cs="FrankRuehl"/>
                    <w:szCs w:val="26"/>
                    <w:rtl/>
                  </w:rPr>
                  <w:t xml:space="preserve">אברהם עופר</w:t>
                </w:r>
              </w:p>
              <w:p>
                <w:pPr>
                  <w:bidi/>
                  <w:spacing w:before="45" w:after="3" w:line="250" w:lineRule="auto"/>
                  <w:jc w:val="center"/>
                </w:pPr>
                <w:defaultTabStop w:val="720"/>
                <w:r>
                  <w:rPr>
                    <w:lang w:bidi="he-IL"/>
                    <w:rFonts w:hint="cs" w:cs="FrankRuehl"/>
                    <w:szCs w:val="22"/>
                    <w:rtl/>
                  </w:rPr>
                  <w:t xml:space="preserve">שר השיכון</w:t>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יצחק רבין</w:t>
                </w:r>
              </w:p>
              <w:p>
                <w:pPr>
                  <w:bidi/>
                  <w:spacing w:before="45" w:after="3" w:line="250" w:lineRule="auto"/>
                  <w:jc w:val="center"/>
                </w:pPr>
                <w:defaultTabStop w:val="720"/>
                <w:r>
                  <w:rPr>
                    <w:lang w:bidi="he-IL"/>
                    <w:rFonts w:hint="cs" w:cs="FrankRuehl"/>
                    <w:szCs w:val="22"/>
                    <w:rtl/>
                  </w:rPr>
                  <w:t xml:space="preserve">ראש הממשלה</w:t>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r>
          <w:tr>
            <w:trPr>
              <w:cantSplit w:val="on"/>
            </w:trPr>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אפרים קציר</w:t>
                </w:r>
              </w:p>
              <w:p>
                <w:pPr>
                  <w:bidi/>
                  <w:spacing w:before="45" w:after="3" w:line="250" w:lineRule="auto"/>
                  <w:jc w:val="center"/>
                </w:pPr>
                <w:defaultTabStop w:val="720"/>
                <w:r>
                  <w:rPr>
                    <w:lang w:bidi="he-IL"/>
                    <w:rFonts w:hint="cs" w:cs="FrankRuehl"/>
                    <w:szCs w:val="22"/>
                    <w:rtl/>
                  </w:rPr>
                  <w:t xml:space="preserve">נשיא המדינה</w:t>
                </w:r>
              </w:p>
            </w:tc>
          </w:tr>
        </w:tbl>
      </w:r>
    </w:p>
  </w:body>
</w:document>
</file>

<file path=word/footer1.xml><?xml version="1.0" encoding="utf-8"?>
<w:ftr xmlns:w="http://schemas.openxmlformats.org/wordprocessingml/2006/main">
  <w:p>
    <w:pPr>
      <w:bidi/>
      <w:spacing w:before="45" w:after="5" w:line="250" w:lineRule="auto"/>
      <w:jc w:val="center"/>
    </w:pPr>
    <w:defaultTabStop w:val="720"/>
    <w:r>
      <w:rPr>
        <w:lang w:bidi="he-IL"/>
        <w:rFonts w:hint="cs" w:cs="FrankRuehl"/>
        <w:szCs w:val="24"/>
        <w:rtl/>
      </w:rPr>
      <w:fldChar w:fldCharType="begin"/>
      <w:instrText xml:space="preserve">Page</w:instrText>
      <w:fldChar w:fldCharType="separate"/>
      <w:fldChar w:fldCharType="end"/>
    </w:r>
  </w:p>
</w:ftr>
</file>

<file path=word/header1.xml><?xml version="1.0" encoding="utf-8"?>
<w:hdr xmlns:w="http://schemas.openxmlformats.org/wordprocessingml/2006/main">
  <w:p>
    <w:pPr>
      <w:bidi/>
      <w:spacing w:before="45" w:after="5" w:line="250" w:lineRule="auto"/>
      <w:jc w:val="center"/>
    </w:pPr>
    <w:defaultTabStop w:val="720"/>
    <w:r>
      <w:rPr>
        <w:lang w:bidi="he-IL"/>
        <w:rFonts w:hint="cs" w:cs="FrankRuehl"/>
        <w:szCs w:val="24"/>
        <w:rtl/>
      </w:rPr>
      <w:t xml:space="preserve">חוק המכר (דירות) (הבטחת השקעות של רוכשי דירות), תשל"ה-1974, נוסח עדכני נכון ליום 17.01.2025</w:t>
    </w:r>
  </w:p>
  <w:p>
    <w:pPr>
      <w:pBdr>
        <w:top w:val="single" w:color="auto" w:sz="5" w:space="1"/>
      </w:pBdr>
    </w:pPr>
  </w:p>
</w:hdr>
</file>

<file path=word/settings.xml><?xml version="1.0" encoding="utf-8"?>
<w:settings xmlns:w="http://schemas.openxmlformats.org/wordprocessingml/2006/main">
  <w:updateFields w:val="true"/>
</w:settings>
</file>

<file path=word/_rels/document.xml.rels>&#65279;<?xml version="1.0" encoding="utf-8"?><Relationships xmlns="http://schemas.openxmlformats.org/package/2006/relationships"><Relationship Type="http://schemas.openxmlformats.org/officeDocument/2006/relationships/settings" Target="/word/settings.xml" Id="R0d3e4b6426934351" /><Relationship Type="http://schemas.openxmlformats.org/officeDocument/2006/relationships/hyperlink" Target="https://www.nevo.co.il/laws/#/606de13e98308a83a8ecec0b/clause/60a560aee0cb4dd440e9794d" TargetMode="External" Id="R305c60cc659e4803" /><Relationship Type="http://schemas.openxmlformats.org/officeDocument/2006/relationships/header" Target="/word/header1.xml" Id="r97" /><Relationship Type="http://schemas.openxmlformats.org/officeDocument/2006/relationships/footer" Target="/word/footer1.xml" Id="r98" /></Relationships>
</file>